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19F9" w14:textId="77777777" w:rsidR="00FD31C2" w:rsidRDefault="00427D08" w:rsidP="00427D08">
      <w:pPr>
        <w:widowControl/>
        <w:spacing w:after="100" w:afterAutospacing="1"/>
        <w:outlineLvl w:val="2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【</w:t>
      </w:r>
      <w:r w:rsidR="00FD31C2">
        <w:rPr>
          <w:rFonts w:ascii="Heiti TC Light" w:eastAsia="Heiti TC Light" w:hAnsi="Heiti TC Light" w:cs="Arial" w:hint="eastAsia"/>
          <w:color w:val="000000"/>
          <w:kern w:val="0"/>
        </w:rPr>
        <w:t>1</w:t>
      </w:r>
      <w:r w:rsidR="00FD31C2">
        <w:rPr>
          <w:rFonts w:ascii="Heiti TC Light" w:eastAsia="Heiti TC Light" w:hAnsi="Heiti TC Light" w:cs="Arial"/>
          <w:color w:val="000000"/>
          <w:kern w:val="0"/>
        </w:rPr>
        <w:t>15</w:t>
      </w:r>
      <w:r w:rsidR="00FD31C2">
        <w:rPr>
          <w:rFonts w:ascii="Heiti TC Light" w:eastAsia="Heiti TC Light" w:hAnsi="Heiti TC Light" w:cs="Arial" w:hint="eastAsia"/>
          <w:color w:val="000000"/>
          <w:kern w:val="0"/>
        </w:rPr>
        <w:t>年稅務調整建議</w:t>
      </w:r>
      <w:r w:rsidRPr="00530376">
        <w:rPr>
          <w:rFonts w:ascii="Heiti TC Light" w:eastAsia="Heiti TC Light" w:hAnsi="Heiti TC Light" w:cs="Arial"/>
          <w:color w:val="000000"/>
          <w:kern w:val="0"/>
        </w:rPr>
        <w:t>】</w:t>
      </w:r>
    </w:p>
    <w:p w14:paraId="4A81126D" w14:textId="023EC765" w:rsidR="00427D08" w:rsidRPr="00530376" w:rsidRDefault="00427D08" w:rsidP="00427D08">
      <w:pPr>
        <w:widowControl/>
        <w:spacing w:after="100" w:afterAutospacing="1"/>
        <w:outlineLvl w:val="2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建請調升醫療院所費用標準及落實稅務友善政策</w:t>
      </w:r>
    </w:p>
    <w:p w14:paraId="54ACB5D7" w14:textId="77777777" w:rsidR="00427D08" w:rsidRPr="00530376" w:rsidRDefault="00427D08" w:rsidP="00427D08">
      <w:pPr>
        <w:widowControl/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本會為反映醫療機構實際營運成本、合理化稅務負擔，並支持政府推動「健康台灣」之政策目標，特提出以下六點具體建議，懇請相關機關審議：</w:t>
      </w:r>
    </w:p>
    <w:p w14:paraId="00C8D592" w14:textId="77777777" w:rsidR="00427D08" w:rsidRPr="00530376" w:rsidRDefault="00427D08" w:rsidP="00427D08">
      <w:pPr>
        <w:widowControl/>
        <w:spacing w:after="100" w:afterAutospacing="1"/>
        <w:outlineLvl w:val="3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一、 健保給付項目合理化：藥費與藥事服務費獨立表列</w:t>
      </w:r>
    </w:p>
    <w:p w14:paraId="33B5FB10" w14:textId="77777777" w:rsidR="00427D08" w:rsidRPr="00530376" w:rsidRDefault="00427D08" w:rsidP="00427D08">
      <w:pPr>
        <w:widowControl/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建請健保署於 115 年「分列項目表」中，將藥費及藥事服務費採獨立表列方式呈現。此舉將使兩者能各自適用 94% 之費用率，避免因項目合併導致費用歸屬疑義，確保基層醫療經營之合理權益。</w:t>
      </w:r>
    </w:p>
    <w:p w14:paraId="676D510E" w14:textId="77777777" w:rsidR="00427D08" w:rsidRPr="00530376" w:rsidRDefault="00427D08" w:rsidP="00427D08">
      <w:pPr>
        <w:widowControl/>
        <w:spacing w:after="100" w:afterAutospacing="1"/>
        <w:outlineLvl w:val="3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二、 持續關注：醫院受僱醫師常態時間以外執業之所得稅務</w:t>
      </w:r>
    </w:p>
    <w:p w14:paraId="67CB6CEC" w14:textId="77777777" w:rsidR="00427D08" w:rsidRPr="00530376" w:rsidRDefault="00427D08" w:rsidP="00427D08">
      <w:pPr>
        <w:widowControl/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本會將持續密切追蹤「醫院受僱醫師於常態工作時間以外執業之所得稅務權益」之相關政策進展，以保障受僱醫師在投入額外工時後的稅負公平性。</w:t>
      </w:r>
    </w:p>
    <w:p w14:paraId="021E925F" w14:textId="77777777" w:rsidR="00427D08" w:rsidRPr="00530376" w:rsidRDefault="00427D08" w:rsidP="00427D08">
      <w:pPr>
        <w:widowControl/>
        <w:spacing w:after="100" w:afterAutospacing="1"/>
        <w:outlineLvl w:val="3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三、 提升全民健康保險收入費用標準</w:t>
      </w:r>
    </w:p>
    <w:p w14:paraId="69E20AEB" w14:textId="77777777" w:rsidR="00427D08" w:rsidRPr="00530376" w:rsidRDefault="00427D08" w:rsidP="00427D08">
      <w:pPr>
        <w:widowControl/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考量近年醫療通膨及營運成本大幅攀升，建議將「114 年度全民健康保險收入之費用標準」酌予調升，目標為每點 0.85 元，以反映醫療機構實際承擔之營運成本。</w:t>
      </w:r>
    </w:p>
    <w:p w14:paraId="1FC9D35C" w14:textId="77777777" w:rsidR="00427D08" w:rsidRPr="00530376" w:rsidRDefault="00427D08" w:rsidP="00427D08">
      <w:pPr>
        <w:widowControl/>
        <w:spacing w:after="100" w:afterAutospacing="1"/>
        <w:outlineLvl w:val="3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四、 修正非健保收入費用率，依 CPI 漲幅調升</w:t>
      </w:r>
    </w:p>
    <w:p w14:paraId="1CBE2FD0" w14:textId="248CCAA8" w:rsidR="00427D08" w:rsidRPr="00530376" w:rsidRDefault="00427D08" w:rsidP="00530376">
      <w:pPr>
        <w:pStyle w:val="Web"/>
        <w:rPr>
          <w:rFonts w:ascii="Heiti TC Light" w:eastAsia="Heiti TC Light" w:hAnsi="Heiti TC Light"/>
        </w:rPr>
      </w:pPr>
      <w:r w:rsidRPr="00530376">
        <w:rPr>
          <w:rFonts w:ascii="Heiti TC Light" w:eastAsia="Heiti TC Light" w:hAnsi="Heiti TC Light" w:cs="Arial"/>
          <w:color w:val="000000"/>
        </w:rPr>
        <w:t>鑑於「非屬全民健康保險收入」之</w:t>
      </w:r>
      <w:r w:rsidR="00530376" w:rsidRPr="00530376">
        <w:rPr>
          <w:rFonts w:ascii="Heiti TC Light" w:eastAsia="Heiti TC Light" w:hAnsi="Heiti TC Light" w:cs="Arial" w:hint="eastAsia"/>
          <w:color w:val="000000"/>
        </w:rPr>
        <w:t>各項及</w:t>
      </w:r>
      <w:r w:rsidRPr="00530376">
        <w:rPr>
          <w:rFonts w:ascii="Heiti TC Light" w:eastAsia="Heiti TC Light" w:hAnsi="Heiti TC Light" w:cs="Arial"/>
          <w:color w:val="000000"/>
        </w:rPr>
        <w:t>各科</w:t>
      </w:r>
      <w:r w:rsidR="00530376" w:rsidRPr="00530376">
        <w:rPr>
          <w:rFonts w:ascii="Heiti TC Light" w:eastAsia="Heiti TC Light" w:hAnsi="Heiti TC Light" w:hint="eastAsia"/>
        </w:rPr>
        <w:t>執行業務者費用標準</w:t>
      </w:r>
      <w:r w:rsidR="00530376">
        <w:rPr>
          <w:rFonts w:ascii="Heiti TC Light" w:eastAsia="Heiti TC Light" w:hAnsi="Heiti TC Light" w:hint="eastAsia"/>
        </w:rPr>
        <w:t>，</w:t>
      </w:r>
      <w:r w:rsidRPr="00530376">
        <w:rPr>
          <w:rFonts w:ascii="Heiti TC Light" w:eastAsia="Heiti TC Light" w:hAnsi="Heiti TC Light" w:cs="Arial"/>
          <w:color w:val="000000"/>
        </w:rPr>
        <w:t>已三十年未經調整，期間物價變動劇烈。參考 92 年至 114 年間消費者物價指數（CPI）累計上漲 34.4%，建議</w:t>
      </w:r>
      <w:r w:rsidR="00530376" w:rsidRPr="00530376">
        <w:rPr>
          <w:rFonts w:ascii="Heiti TC Light" w:eastAsia="Heiti TC Light" w:hAnsi="Heiti TC Light" w:hint="eastAsia"/>
        </w:rPr>
        <w:t>費用標準</w:t>
      </w:r>
      <w:r w:rsidRPr="00530376">
        <w:rPr>
          <w:rFonts w:ascii="Heiti TC Light" w:eastAsia="Heiti TC Light" w:hAnsi="Heiti TC Light" w:cs="Arial"/>
          <w:color w:val="000000"/>
        </w:rPr>
        <w:t>應</w:t>
      </w:r>
      <w:r w:rsidR="00384AFB" w:rsidRPr="00530376">
        <w:rPr>
          <w:rFonts w:ascii="Heiti TC Light" w:eastAsia="Heiti TC Light" w:hAnsi="Heiti TC Light" w:cs="Arial" w:hint="eastAsia"/>
          <w:color w:val="000000"/>
        </w:rPr>
        <w:t>依比例</w:t>
      </w:r>
      <w:r w:rsidRPr="00530376">
        <w:rPr>
          <w:rFonts w:ascii="Heiti TC Light" w:eastAsia="Heiti TC Light" w:hAnsi="Heiti TC Light" w:cs="Arial"/>
          <w:color w:val="000000"/>
        </w:rPr>
        <w:t>同步調升（例如：40% 調升至 54%；45% 調升至 60%），以符營運實況。</w:t>
      </w:r>
    </w:p>
    <w:p w14:paraId="473D0BAA" w14:textId="77777777" w:rsidR="00427D08" w:rsidRPr="00530376" w:rsidRDefault="00427D08" w:rsidP="00427D08">
      <w:pPr>
        <w:widowControl/>
        <w:spacing w:after="100" w:afterAutospacing="1"/>
        <w:outlineLvl w:val="3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五、 明確化「UCC計畫」人力費用之課稅規範</w:t>
      </w:r>
    </w:p>
    <w:p w14:paraId="0BF54F14" w14:textId="0DBA3DC1" w:rsidR="00427D08" w:rsidRPr="00530376" w:rsidRDefault="00427D08" w:rsidP="00427D08">
      <w:pPr>
        <w:widowControl/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為提升醫師投入</w:t>
      </w:r>
      <w:r w:rsidR="00384AFB" w:rsidRPr="00530376">
        <w:rPr>
          <w:rFonts w:ascii="Heiti TC Light" w:eastAsia="Heiti TC Light" w:hAnsi="Heiti TC Light" w:cs="Arial" w:hint="eastAsia"/>
          <w:color w:val="000000"/>
          <w:kern w:val="0"/>
        </w:rPr>
        <w:t>該</w:t>
      </w:r>
      <w:r w:rsidRPr="00530376">
        <w:rPr>
          <w:rFonts w:ascii="Heiti TC Light" w:eastAsia="Heiti TC Light" w:hAnsi="Heiti TC Light" w:cs="Arial"/>
          <w:color w:val="000000"/>
          <w:kern w:val="0"/>
        </w:rPr>
        <w:t>計畫意願，建議明確定義：</w:t>
      </w:r>
    </w:p>
    <w:p w14:paraId="5CE76F55" w14:textId="77777777" w:rsidR="00427D08" w:rsidRPr="00530376" w:rsidRDefault="00427D08" w:rsidP="00427D08">
      <w:pPr>
        <w:widowControl/>
        <w:numPr>
          <w:ilvl w:val="0"/>
          <w:numId w:val="1"/>
        </w:numPr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代收代付原則：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若醫療院所執行本計畫屬代收代付性質且無差額，該筆人力費用不應計入醫療院所之營收。</w:t>
      </w:r>
    </w:p>
    <w:p w14:paraId="35A6EB24" w14:textId="77777777" w:rsidR="00427D08" w:rsidRPr="00530376" w:rsidRDefault="00427D08" w:rsidP="00427D08">
      <w:pPr>
        <w:widowControl/>
        <w:numPr>
          <w:ilvl w:val="0"/>
          <w:numId w:val="1"/>
        </w:numPr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加班費認定：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經院所依班表認定屬加班時數者，其報酬應屬加班費性質，並依所得稅法規定免計入薪資所得課稅。</w:t>
      </w:r>
    </w:p>
    <w:p w14:paraId="5F97A70F" w14:textId="77777777" w:rsidR="00427D08" w:rsidRPr="00530376" w:rsidRDefault="00427D08" w:rsidP="00427D08">
      <w:pPr>
        <w:widowControl/>
        <w:numPr>
          <w:ilvl w:val="0"/>
          <w:numId w:val="1"/>
        </w:numPr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lastRenderedPageBreak/>
        <w:t>計畫獎勵費：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院所取得之開辦及營運獎勵費，應核實減除成本費用；若採部頒標準，則建議適用西醫師配合政府政策辦理特定對象補助計畫之費用率（114 年度為 78%）。</w:t>
      </w:r>
    </w:p>
    <w:p w14:paraId="57F0C244" w14:textId="77777777" w:rsidR="00427D08" w:rsidRPr="00530376" w:rsidRDefault="00427D08" w:rsidP="00427D08">
      <w:pPr>
        <w:widowControl/>
        <w:spacing w:after="100" w:afterAutospacing="1"/>
        <w:outlineLvl w:val="3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六、 推動配合政府政策之醫療收入免稅或提高費用率</w:t>
      </w:r>
    </w:p>
    <w:p w14:paraId="4A59800C" w14:textId="77777777" w:rsidR="00427D08" w:rsidRPr="00530376" w:rsidRDefault="00427D08" w:rsidP="00427D08">
      <w:pPr>
        <w:widowControl/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醫療機構配合公共衛生政策，承擔額外人力與營運風險，建議給予以下稅務優惠：</w:t>
      </w:r>
    </w:p>
    <w:p w14:paraId="669221ED" w14:textId="77777777" w:rsidR="00427D08" w:rsidRPr="00530376" w:rsidRDefault="00427D08" w:rsidP="00427D08">
      <w:pPr>
        <w:widowControl/>
        <w:numPr>
          <w:ilvl w:val="0"/>
          <w:numId w:val="2"/>
        </w:numPr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春節加成方案：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參與健保署春節加成獎勵計畫之收入，建議予以免稅，以肯定其維持醫療可近性之貢獻。</w:t>
      </w:r>
    </w:p>
    <w:p w14:paraId="0F2C6B93" w14:textId="77777777" w:rsidR="00427D08" w:rsidRPr="00530376" w:rsidRDefault="00427D08" w:rsidP="00427D08">
      <w:pPr>
        <w:widowControl/>
        <w:numPr>
          <w:ilvl w:val="0"/>
          <w:numId w:val="2"/>
        </w:numPr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癌症篩檢與預防保健：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配合國健署推動之相關服務，其收入建議全額免稅；若現行規定受限，則建議將費用率調升至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95%，以反映執行成本。</w:t>
      </w:r>
    </w:p>
    <w:p w14:paraId="36279E26" w14:textId="1ED678BA" w:rsidR="00427D08" w:rsidRPr="00530376" w:rsidRDefault="00427D08" w:rsidP="00427D08">
      <w:pPr>
        <w:widowControl/>
        <w:numPr>
          <w:ilvl w:val="0"/>
          <w:numId w:val="2"/>
        </w:numPr>
        <w:spacing w:after="100" w:afterAutospacing="1"/>
        <w:rPr>
          <w:rFonts w:ascii="Heiti TC Light" w:eastAsia="Heiti TC Light" w:hAnsi="Heiti TC Light" w:cs="Arial"/>
          <w:color w:val="000000"/>
          <w:kern w:val="0"/>
        </w:rPr>
      </w:pPr>
      <w:r w:rsidRPr="00530376">
        <w:rPr>
          <w:rFonts w:ascii="Heiti TC Light" w:eastAsia="Heiti TC Light" w:hAnsi="Heiti TC Light" w:cs="Arial"/>
          <w:color w:val="000000"/>
          <w:kern w:val="0"/>
        </w:rPr>
        <w:t>防疫與</w:t>
      </w:r>
      <w:r w:rsidR="000F01F5" w:rsidRPr="00530376">
        <w:rPr>
          <w:rFonts w:ascii="Heiti TC Light" w:eastAsia="Heiti TC Light" w:hAnsi="Heiti TC Light" w:cs="Arial" w:hint="eastAsia"/>
          <w:color w:val="000000"/>
          <w:kern w:val="0"/>
        </w:rPr>
        <w:t>公費</w:t>
      </w:r>
      <w:r w:rsidRPr="00530376">
        <w:rPr>
          <w:rFonts w:ascii="Heiti TC Light" w:eastAsia="Heiti TC Light" w:hAnsi="Heiti TC Light" w:cs="Arial"/>
          <w:color w:val="000000"/>
          <w:kern w:val="0"/>
        </w:rPr>
        <w:t>疫苗接種：</w:t>
      </w:r>
      <w:r w:rsidRPr="00530376">
        <w:rPr>
          <w:rFonts w:ascii="Cambria" w:eastAsia="Heiti TC Light" w:hAnsi="Cambria" w:cs="Cambria"/>
          <w:color w:val="000000"/>
          <w:kern w:val="0"/>
        </w:rPr>
        <w:t> </w:t>
      </w:r>
      <w:r w:rsidRPr="00530376">
        <w:rPr>
          <w:rFonts w:ascii="Heiti TC Light" w:eastAsia="Heiti TC Light" w:hAnsi="Heiti TC Light" w:cs="Arial"/>
          <w:color w:val="000000"/>
          <w:kern w:val="0"/>
        </w:rPr>
        <w:t>參與疾管署疫苗接種與傳染病篩檢之收入，建議予以免稅，以強化防疫體系之韌性與永續性。</w:t>
      </w:r>
    </w:p>
    <w:p w14:paraId="6543324D" w14:textId="3D99D046" w:rsidR="00CF064F" w:rsidRPr="00530376" w:rsidRDefault="000F01F5" w:rsidP="00427D08">
      <w:pPr>
        <w:rPr>
          <w:rFonts w:ascii="Heiti TC Light" w:eastAsia="Heiti TC Light" w:hAnsi="Heiti TC Light"/>
        </w:rPr>
      </w:pPr>
      <w:r w:rsidRPr="00530376">
        <w:rPr>
          <w:rFonts w:ascii="Heiti TC Light" w:eastAsia="Heiti TC Light" w:hAnsi="Heiti TC Light"/>
          <w:noProof/>
        </w:rPr>
        <w:lastRenderedPageBreak/>
        <w:drawing>
          <wp:inline distT="0" distB="0" distL="0" distR="0" wp14:anchorId="50D7D404" wp14:editId="02ED6BFB">
            <wp:extent cx="4813300" cy="65151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64F" w:rsidRPr="00530376" w:rsidSect="006D0BA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altName w:val="HEITI TC 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319DF"/>
    <w:multiLevelType w:val="multilevel"/>
    <w:tmpl w:val="588C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AF5C94"/>
    <w:multiLevelType w:val="multilevel"/>
    <w:tmpl w:val="C050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B3D8E"/>
    <w:multiLevelType w:val="multilevel"/>
    <w:tmpl w:val="5EC8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B7"/>
    <w:rsid w:val="00077523"/>
    <w:rsid w:val="000F01F5"/>
    <w:rsid w:val="001A0F76"/>
    <w:rsid w:val="002249BF"/>
    <w:rsid w:val="00340FE2"/>
    <w:rsid w:val="00384AFB"/>
    <w:rsid w:val="00427D08"/>
    <w:rsid w:val="00455D31"/>
    <w:rsid w:val="00530376"/>
    <w:rsid w:val="00577550"/>
    <w:rsid w:val="006516B7"/>
    <w:rsid w:val="006D0BA8"/>
    <w:rsid w:val="00920CDF"/>
    <w:rsid w:val="00CF064F"/>
    <w:rsid w:val="00D058B6"/>
    <w:rsid w:val="00FD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B8E9E"/>
  <w15:chartTrackingRefBased/>
  <w15:docId w15:val="{58279FAE-9BC1-8F48-903C-34486B6B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427D0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427D08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427D0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427D08"/>
    <w:rPr>
      <w:rFonts w:ascii="新細明體" w:eastAsia="新細明體" w:hAnsi="新細明體" w:cs="新細明體"/>
      <w:b/>
      <w:bCs/>
      <w:kern w:val="0"/>
    </w:rPr>
  </w:style>
  <w:style w:type="paragraph" w:styleId="Web">
    <w:name w:val="Normal (Web)"/>
    <w:basedOn w:val="a"/>
    <w:uiPriority w:val="99"/>
    <w:unhideWhenUsed/>
    <w:rsid w:val="00427D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427D08"/>
  </w:style>
  <w:style w:type="character" w:customStyle="1" w:styleId="html-span">
    <w:name w:val="html-span"/>
    <w:basedOn w:val="a0"/>
    <w:rsid w:val="001A0F76"/>
  </w:style>
  <w:style w:type="character" w:styleId="a3">
    <w:name w:val="Hyperlink"/>
    <w:basedOn w:val="a0"/>
    <w:uiPriority w:val="99"/>
    <w:semiHidden/>
    <w:unhideWhenUsed/>
    <w:rsid w:val="001A0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6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7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08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5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8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2026-07-22T21:02:00Z</dcterms:created>
  <dcterms:modified xsi:type="dcterms:W3CDTF">2026-07-22T21:02:00Z</dcterms:modified>
</cp:coreProperties>
</file>