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E719C" w14:textId="2BC9AFB4" w:rsidR="00E85000" w:rsidRPr="00AF7F9B" w:rsidRDefault="00E85000" w:rsidP="00E85000">
      <w:pPr>
        <w:jc w:val="center"/>
        <w:rPr>
          <w:rFonts w:ascii="Times New Roman" w:eastAsia="標楷體" w:hAnsi="Times New Roman" w:cs="Times New Roman"/>
          <w:b/>
          <w:sz w:val="32"/>
          <w:szCs w:val="32"/>
        </w:rPr>
      </w:pPr>
      <w:r w:rsidRPr="00AF7F9B">
        <w:rPr>
          <w:rFonts w:ascii="Times New Roman" w:eastAsia="標楷體" w:hAnsi="Times New Roman" w:cs="Times New Roman"/>
          <w:b/>
          <w:sz w:val="32"/>
          <w:szCs w:val="32"/>
        </w:rPr>
        <w:t>西醫基層台北區</w:t>
      </w:r>
      <w:r w:rsidRPr="00AF7F9B">
        <w:rPr>
          <w:rFonts w:ascii="Times New Roman" w:eastAsia="標楷體" w:hAnsi="Times New Roman" w:cs="Times New Roman"/>
          <w:b/>
          <w:sz w:val="32"/>
          <w:szCs w:val="32"/>
        </w:rPr>
        <w:t>1</w:t>
      </w:r>
      <w:r w:rsidR="00B078CE" w:rsidRPr="00AF7F9B">
        <w:rPr>
          <w:rFonts w:ascii="Times New Roman" w:eastAsia="標楷體" w:hAnsi="Times New Roman" w:cs="Times New Roman" w:hint="eastAsia"/>
          <w:b/>
          <w:sz w:val="32"/>
          <w:szCs w:val="32"/>
        </w:rPr>
        <w:t>1</w:t>
      </w:r>
      <w:r w:rsidR="00100B77">
        <w:rPr>
          <w:rFonts w:ascii="Times New Roman" w:eastAsia="標楷體" w:hAnsi="Times New Roman" w:cs="Times New Roman" w:hint="eastAsia"/>
          <w:b/>
          <w:sz w:val="32"/>
          <w:szCs w:val="32"/>
        </w:rPr>
        <w:t>2</w:t>
      </w:r>
      <w:r w:rsidRPr="00AF7F9B">
        <w:rPr>
          <w:rFonts w:ascii="Times New Roman" w:eastAsia="標楷體" w:hAnsi="Times New Roman" w:cs="Times New Roman"/>
          <w:b/>
          <w:sz w:val="32"/>
          <w:szCs w:val="32"/>
        </w:rPr>
        <w:t>年第</w:t>
      </w:r>
      <w:r w:rsidR="0006187E">
        <w:rPr>
          <w:rFonts w:ascii="Times New Roman" w:eastAsia="標楷體" w:hAnsi="Times New Roman" w:cs="Times New Roman" w:hint="eastAsia"/>
          <w:b/>
          <w:sz w:val="32"/>
          <w:szCs w:val="32"/>
        </w:rPr>
        <w:t>4</w:t>
      </w:r>
      <w:r w:rsidRPr="00AF7F9B">
        <w:rPr>
          <w:rFonts w:ascii="Times New Roman" w:eastAsia="標楷體" w:hAnsi="Times New Roman" w:cs="Times New Roman"/>
          <w:b/>
          <w:sz w:val="32"/>
          <w:szCs w:val="32"/>
        </w:rPr>
        <w:t>次共管會議</w:t>
      </w:r>
      <w:r w:rsidR="00100B77">
        <w:rPr>
          <w:rFonts w:ascii="Times New Roman" w:eastAsia="標楷體" w:hAnsi="Times New Roman" w:cs="Times New Roman" w:hint="eastAsia"/>
          <w:b/>
          <w:sz w:val="32"/>
          <w:szCs w:val="32"/>
        </w:rPr>
        <w:t>(112</w:t>
      </w:r>
      <w:r w:rsidR="00DB23CA" w:rsidRPr="00AF7F9B">
        <w:rPr>
          <w:rFonts w:ascii="Times New Roman" w:eastAsia="標楷體" w:hAnsi="Times New Roman" w:cs="Times New Roman" w:hint="eastAsia"/>
          <w:b/>
          <w:sz w:val="32"/>
          <w:szCs w:val="32"/>
        </w:rPr>
        <w:t>.</w:t>
      </w:r>
      <w:r w:rsidR="00E31857">
        <w:rPr>
          <w:rFonts w:ascii="Times New Roman" w:eastAsia="標楷體" w:hAnsi="Times New Roman" w:cs="Times New Roman" w:hint="eastAsia"/>
          <w:b/>
          <w:sz w:val="32"/>
          <w:szCs w:val="32"/>
        </w:rPr>
        <w:t>12</w:t>
      </w:r>
      <w:r w:rsidR="00B078CE" w:rsidRPr="00AF7F9B">
        <w:rPr>
          <w:rFonts w:ascii="Times New Roman" w:eastAsia="標楷體" w:hAnsi="Times New Roman" w:cs="Times New Roman" w:hint="eastAsia"/>
          <w:b/>
          <w:sz w:val="32"/>
          <w:szCs w:val="32"/>
        </w:rPr>
        <w:t>.</w:t>
      </w:r>
      <w:r w:rsidR="00E31857">
        <w:rPr>
          <w:rFonts w:ascii="Times New Roman" w:eastAsia="標楷體" w:hAnsi="Times New Roman" w:cs="Times New Roman" w:hint="eastAsia"/>
          <w:b/>
          <w:sz w:val="32"/>
          <w:szCs w:val="32"/>
        </w:rPr>
        <w:t>8</w:t>
      </w:r>
      <w:r w:rsidR="00D804F8" w:rsidRPr="00AF7F9B">
        <w:rPr>
          <w:rFonts w:ascii="Times New Roman" w:eastAsia="標楷體" w:hAnsi="Times New Roman" w:cs="Times New Roman" w:hint="eastAsia"/>
          <w:b/>
          <w:sz w:val="32"/>
          <w:szCs w:val="32"/>
        </w:rPr>
        <w:t>)</w:t>
      </w:r>
      <w:r w:rsidRPr="00AF7F9B">
        <w:rPr>
          <w:rFonts w:ascii="Times New Roman" w:eastAsia="標楷體" w:hAnsi="Times New Roman" w:cs="Times New Roman"/>
          <w:b/>
          <w:sz w:val="32"/>
          <w:szCs w:val="32"/>
        </w:rPr>
        <w:t>宣導事項</w:t>
      </w:r>
    </w:p>
    <w:tbl>
      <w:tblPr>
        <w:tblStyle w:val="a3"/>
        <w:tblW w:w="15276" w:type="dxa"/>
        <w:jc w:val="center"/>
        <w:tblLayout w:type="fixed"/>
        <w:tblLook w:val="04A0" w:firstRow="1" w:lastRow="0" w:firstColumn="1" w:lastColumn="0" w:noHBand="0" w:noVBand="1"/>
      </w:tblPr>
      <w:tblGrid>
        <w:gridCol w:w="817"/>
        <w:gridCol w:w="2835"/>
        <w:gridCol w:w="11624"/>
      </w:tblGrid>
      <w:tr w:rsidR="00EC13E4" w:rsidRPr="00AF7F9B" w14:paraId="7CCFBE54" w14:textId="77777777" w:rsidTr="00AF7503">
        <w:trPr>
          <w:trHeight w:val="362"/>
          <w:tblHeader/>
          <w:jc w:val="center"/>
        </w:trPr>
        <w:tc>
          <w:tcPr>
            <w:tcW w:w="817" w:type="dxa"/>
            <w:shd w:val="clear" w:color="auto" w:fill="D0CECE" w:themeFill="background2" w:themeFillShade="E6"/>
            <w:vAlign w:val="center"/>
          </w:tcPr>
          <w:p w14:paraId="63407EDE" w14:textId="3D104FB3" w:rsidR="0095246A" w:rsidRPr="00AF7F9B" w:rsidRDefault="0095246A" w:rsidP="00EC13E4">
            <w:pPr>
              <w:spacing w:line="400" w:lineRule="exact"/>
              <w:jc w:val="center"/>
              <w:rPr>
                <w:rFonts w:ascii="Times New Roman" w:eastAsia="標楷體" w:hAnsi="Times New Roman" w:cs="Times New Roman"/>
                <w:b/>
                <w:szCs w:val="28"/>
              </w:rPr>
            </w:pPr>
            <w:r w:rsidRPr="00AF7F9B">
              <w:rPr>
                <w:rFonts w:ascii="Times New Roman" w:eastAsia="標楷體" w:hAnsi="Times New Roman" w:cs="Times New Roman"/>
                <w:b/>
                <w:szCs w:val="28"/>
              </w:rPr>
              <w:t>項次</w:t>
            </w:r>
          </w:p>
        </w:tc>
        <w:tc>
          <w:tcPr>
            <w:tcW w:w="2835" w:type="dxa"/>
            <w:shd w:val="clear" w:color="auto" w:fill="D0CECE" w:themeFill="background2" w:themeFillShade="E6"/>
            <w:vAlign w:val="center"/>
          </w:tcPr>
          <w:p w14:paraId="3C4FE862" w14:textId="6A36D8BA" w:rsidR="0095246A" w:rsidRPr="00AF7F9B" w:rsidRDefault="0095246A" w:rsidP="00EC13E4">
            <w:pPr>
              <w:spacing w:line="400" w:lineRule="exact"/>
              <w:jc w:val="center"/>
              <w:rPr>
                <w:rFonts w:ascii="Times New Roman" w:eastAsia="標楷體" w:hAnsi="Times New Roman" w:cs="Times New Roman"/>
                <w:b/>
                <w:szCs w:val="28"/>
              </w:rPr>
            </w:pPr>
            <w:r w:rsidRPr="00AF7F9B">
              <w:rPr>
                <w:rFonts w:ascii="Times New Roman" w:eastAsia="標楷體" w:hAnsi="Times New Roman" w:cs="Times New Roman"/>
                <w:b/>
                <w:szCs w:val="28"/>
              </w:rPr>
              <w:t>事項</w:t>
            </w:r>
          </w:p>
        </w:tc>
        <w:tc>
          <w:tcPr>
            <w:tcW w:w="11624" w:type="dxa"/>
            <w:shd w:val="clear" w:color="auto" w:fill="D0CECE" w:themeFill="background2" w:themeFillShade="E6"/>
            <w:vAlign w:val="center"/>
          </w:tcPr>
          <w:p w14:paraId="6092DA5B" w14:textId="69B64D2C" w:rsidR="0095246A" w:rsidRPr="00AF7F9B" w:rsidRDefault="0095246A" w:rsidP="00EC13E4">
            <w:pPr>
              <w:spacing w:line="400" w:lineRule="exact"/>
              <w:jc w:val="center"/>
              <w:rPr>
                <w:rFonts w:ascii="Times New Roman" w:eastAsia="標楷體" w:hAnsi="Times New Roman" w:cs="Times New Roman"/>
                <w:b/>
                <w:szCs w:val="28"/>
              </w:rPr>
            </w:pPr>
            <w:r w:rsidRPr="00AF7F9B">
              <w:rPr>
                <w:rFonts w:ascii="Times New Roman" w:eastAsia="標楷體" w:hAnsi="Times New Roman" w:cs="Times New Roman"/>
                <w:b/>
                <w:szCs w:val="28"/>
              </w:rPr>
              <w:t>內容</w:t>
            </w:r>
          </w:p>
        </w:tc>
      </w:tr>
      <w:tr w:rsidR="00921B1D" w:rsidRPr="00AF7F9B" w14:paraId="27A041AD" w14:textId="77777777" w:rsidTr="00921B1D">
        <w:trPr>
          <w:trHeight w:val="347"/>
          <w:jc w:val="center"/>
        </w:trPr>
        <w:tc>
          <w:tcPr>
            <w:tcW w:w="817" w:type="dxa"/>
            <w:shd w:val="clear" w:color="auto" w:fill="auto"/>
            <w:vAlign w:val="center"/>
          </w:tcPr>
          <w:p w14:paraId="09DD5FA7" w14:textId="5A0C2D9A" w:rsidR="00921B1D" w:rsidRPr="008018F7" w:rsidRDefault="00921B1D" w:rsidP="00B078CE">
            <w:pPr>
              <w:spacing w:line="400" w:lineRule="exact"/>
              <w:jc w:val="both"/>
              <w:rPr>
                <w:rFonts w:ascii="Times New Roman" w:eastAsia="標楷體" w:hAnsi="Times New Roman" w:cs="Times New Roman"/>
                <w:szCs w:val="24"/>
              </w:rPr>
            </w:pPr>
            <w:r w:rsidRPr="008018F7">
              <w:rPr>
                <w:rFonts w:ascii="Times New Roman" w:eastAsia="標楷體" w:hAnsi="Times New Roman" w:cs="Times New Roman"/>
                <w:szCs w:val="24"/>
              </w:rPr>
              <w:t>一</w:t>
            </w:r>
          </w:p>
        </w:tc>
        <w:tc>
          <w:tcPr>
            <w:tcW w:w="2835" w:type="dxa"/>
            <w:shd w:val="clear" w:color="auto" w:fill="auto"/>
            <w:vAlign w:val="center"/>
          </w:tcPr>
          <w:p w14:paraId="0CAB3BF3" w14:textId="7000D57E" w:rsidR="00921B1D" w:rsidRPr="00D353C8" w:rsidRDefault="00921B1D" w:rsidP="00A86E1A">
            <w:pPr>
              <w:widowControl/>
              <w:snapToGrid w:val="0"/>
              <w:ind w:rightChars="9" w:right="22"/>
              <w:jc w:val="both"/>
              <w:rPr>
                <w:rFonts w:ascii="Times New Roman" w:eastAsia="標楷體" w:hAnsi="Times New Roman" w:cs="Times New Roman"/>
                <w:kern w:val="0"/>
                <w:szCs w:val="24"/>
              </w:rPr>
            </w:pPr>
            <w:r w:rsidRPr="00921B1D">
              <w:rPr>
                <w:rFonts w:ascii="Times New Roman" w:eastAsia="標楷體" w:hAnsi="Times New Roman" w:cs="Times New Roman" w:hint="eastAsia"/>
                <w:kern w:val="0"/>
                <w:szCs w:val="24"/>
              </w:rPr>
              <w:t>「臺北區西醫基層白內障手術管理專案」新增</w:t>
            </w:r>
            <w:r w:rsidRPr="00921B1D">
              <w:rPr>
                <w:rFonts w:ascii="Times New Roman" w:eastAsia="標楷體" w:hAnsi="Times New Roman" w:cs="Times New Roman"/>
                <w:kern w:val="0"/>
                <w:szCs w:val="24"/>
              </w:rPr>
              <w:t>2</w:t>
            </w:r>
            <w:r w:rsidRPr="00921B1D">
              <w:rPr>
                <w:rFonts w:ascii="Times New Roman" w:eastAsia="標楷體" w:hAnsi="Times New Roman" w:cs="Times New Roman" w:hint="eastAsia"/>
                <w:kern w:val="0"/>
                <w:szCs w:val="24"/>
              </w:rPr>
              <w:t>項白內障手術案件術後品質監測指標</w:t>
            </w:r>
          </w:p>
        </w:tc>
        <w:tc>
          <w:tcPr>
            <w:tcW w:w="11624" w:type="dxa"/>
            <w:shd w:val="clear" w:color="auto" w:fill="auto"/>
            <w:vAlign w:val="center"/>
          </w:tcPr>
          <w:p w14:paraId="6B0B3077" w14:textId="5B5306A2" w:rsidR="00921B1D" w:rsidRDefault="00921B1D" w:rsidP="00C916F9">
            <w:pPr>
              <w:widowControl/>
              <w:snapToGrid w:val="0"/>
              <w:spacing w:line="280" w:lineRule="exact"/>
              <w:jc w:val="both"/>
              <w:rPr>
                <w:rFonts w:ascii="Times New Roman" w:eastAsia="標楷體" w:hAnsi="Times New Roman" w:cs="Times New Roman" w:hint="eastAsia"/>
                <w:sz w:val="26"/>
                <w:szCs w:val="26"/>
              </w:rPr>
            </w:pPr>
            <w:r>
              <w:rPr>
                <w:rFonts w:ascii="Times New Roman" w:eastAsia="標楷體" w:hAnsi="Times New Roman" w:cs="Times New Roman"/>
                <w:sz w:val="26"/>
                <w:szCs w:val="26"/>
              </w:rPr>
              <w:t>新增</w:t>
            </w:r>
            <w:r w:rsidRPr="009F36CE">
              <w:rPr>
                <w:rFonts w:ascii="Times New Roman" w:eastAsia="標楷體" w:hAnsi="Times New Roman" w:cs="Times New Roman" w:hint="eastAsia"/>
                <w:sz w:val="26"/>
                <w:szCs w:val="26"/>
              </w:rPr>
              <w:t>白內障手術案件術後品質監測指標</w:t>
            </w:r>
            <w:r>
              <w:rPr>
                <w:rFonts w:ascii="Times New Roman" w:eastAsia="標楷體" w:hAnsi="Times New Roman" w:cs="Times New Roman" w:hint="eastAsia"/>
                <w:sz w:val="26"/>
                <w:szCs w:val="26"/>
              </w:rPr>
              <w:t>，以</w:t>
            </w:r>
            <w:r>
              <w:rPr>
                <w:rFonts w:ascii="Times New Roman" w:eastAsia="標楷體" w:hAnsi="Times New Roman" w:cs="Times New Roman" w:hint="eastAsia"/>
                <w:sz w:val="26"/>
                <w:szCs w:val="26"/>
              </w:rPr>
              <w:t>112Q1</w:t>
            </w:r>
            <w:r>
              <w:rPr>
                <w:rFonts w:ascii="Times New Roman" w:eastAsia="標楷體" w:hAnsi="Times New Roman" w:cs="Times New Roman" w:hint="eastAsia"/>
                <w:sz w:val="26"/>
                <w:szCs w:val="26"/>
              </w:rPr>
              <w:t>統計結果進行抽審</w:t>
            </w:r>
            <w:r>
              <w:rPr>
                <w:rFonts w:ascii="Times New Roman" w:eastAsia="標楷體" w:hAnsi="Times New Roman" w:cs="Times New Roman"/>
                <w:sz w:val="26"/>
                <w:szCs w:val="26"/>
              </w:rPr>
              <w:t>:</w:t>
            </w:r>
          </w:p>
          <w:p w14:paraId="274F4270" w14:textId="77777777" w:rsidR="00921B1D" w:rsidRDefault="00921B1D" w:rsidP="00C916F9">
            <w:pPr>
              <w:widowControl/>
              <w:snapToGrid w:val="0"/>
              <w:spacing w:line="280" w:lineRule="exact"/>
              <w:jc w:val="both"/>
              <w:rPr>
                <w:rFonts w:ascii="Times New Roman" w:eastAsia="標楷體" w:hAnsi="Times New Roman" w:cs="Times New Roman" w:hint="eastAsia"/>
                <w:sz w:val="26"/>
                <w:szCs w:val="26"/>
              </w:rPr>
            </w:pPr>
            <w:r w:rsidRPr="009F36CE">
              <w:rPr>
                <w:rFonts w:ascii="Times New Roman" w:eastAsia="標楷體" w:hAnsi="Times New Roman" w:cs="Times New Roman" w:hint="eastAsia"/>
                <w:sz w:val="26"/>
                <w:szCs w:val="26"/>
              </w:rPr>
              <w:t>指標</w:t>
            </w:r>
            <w:r w:rsidRPr="009F36CE">
              <w:rPr>
                <w:rFonts w:ascii="Times New Roman" w:eastAsia="標楷體" w:hAnsi="Times New Roman" w:cs="Times New Roman"/>
                <w:sz w:val="26"/>
                <w:szCs w:val="26"/>
              </w:rPr>
              <w:t>1</w:t>
            </w:r>
            <w:r w:rsidRPr="009F36CE">
              <w:rPr>
                <w:rFonts w:ascii="Times New Roman" w:eastAsia="標楷體" w:hAnsi="Times New Roman" w:cs="Times New Roman" w:hint="eastAsia"/>
                <w:sz w:val="26"/>
                <w:szCs w:val="26"/>
              </w:rPr>
              <w:t>：白內障手術後</w:t>
            </w:r>
            <w:r w:rsidRPr="009F36CE">
              <w:rPr>
                <w:rFonts w:ascii="Times New Roman" w:eastAsia="標楷體" w:hAnsi="Times New Roman" w:cs="Times New Roman"/>
                <w:sz w:val="26"/>
                <w:szCs w:val="26"/>
              </w:rPr>
              <w:t xml:space="preserve">90 </w:t>
            </w:r>
            <w:r w:rsidRPr="009F36CE">
              <w:rPr>
                <w:rFonts w:ascii="Times New Roman" w:eastAsia="標楷體" w:hAnsi="Times New Roman" w:cs="Times New Roman" w:hint="eastAsia"/>
                <w:sz w:val="26"/>
                <w:szCs w:val="26"/>
              </w:rPr>
              <w:t>日內同眼再執行白內障手術案</w:t>
            </w:r>
            <w:r>
              <w:rPr>
                <w:rFonts w:ascii="Times New Roman" w:eastAsia="標楷體" w:hAnsi="Times New Roman" w:cs="Times New Roman" w:hint="eastAsia"/>
                <w:sz w:val="26"/>
                <w:szCs w:val="26"/>
              </w:rPr>
              <w:t>件。</w:t>
            </w:r>
          </w:p>
          <w:p w14:paraId="2027882F" w14:textId="26B48A3F" w:rsidR="00921B1D" w:rsidRPr="00810C5D" w:rsidRDefault="00921B1D" w:rsidP="002B1012">
            <w:pPr>
              <w:widowControl/>
              <w:snapToGrid w:val="0"/>
              <w:spacing w:line="280" w:lineRule="exact"/>
              <w:jc w:val="both"/>
              <w:rPr>
                <w:rFonts w:ascii="Times New Roman" w:eastAsia="標楷體" w:hAnsi="Times New Roman" w:cs="Times New Roman" w:hint="eastAsia"/>
                <w:sz w:val="26"/>
                <w:szCs w:val="26"/>
              </w:rPr>
            </w:pPr>
            <w:r w:rsidRPr="00E31857">
              <w:rPr>
                <w:rFonts w:ascii="Times New Roman" w:eastAsia="標楷體" w:hAnsi="Times New Roman" w:cs="Times New Roman" w:hint="eastAsia"/>
                <w:sz w:val="26"/>
                <w:szCs w:val="26"/>
              </w:rPr>
              <w:t>指標</w:t>
            </w:r>
            <w:r w:rsidRPr="00E31857">
              <w:rPr>
                <w:rFonts w:ascii="Times New Roman" w:eastAsia="標楷體" w:hAnsi="Times New Roman" w:cs="Times New Roman"/>
                <w:sz w:val="26"/>
                <w:szCs w:val="26"/>
              </w:rPr>
              <w:t>2</w:t>
            </w:r>
            <w:r w:rsidRPr="00E31857">
              <w:rPr>
                <w:rFonts w:ascii="Times New Roman" w:eastAsia="標楷體" w:hAnsi="Times New Roman" w:cs="Times New Roman" w:hint="eastAsia"/>
                <w:sz w:val="26"/>
                <w:szCs w:val="26"/>
              </w:rPr>
              <w:t>：臺北區白內障手術後</w:t>
            </w:r>
            <w:r w:rsidRPr="00E31857">
              <w:rPr>
                <w:rFonts w:ascii="Times New Roman" w:eastAsia="標楷體" w:hAnsi="Times New Roman" w:cs="Times New Roman"/>
                <w:sz w:val="26"/>
                <w:szCs w:val="26"/>
              </w:rPr>
              <w:t xml:space="preserve">90 </w:t>
            </w:r>
            <w:r w:rsidRPr="00E31857">
              <w:rPr>
                <w:rFonts w:ascii="Times New Roman" w:eastAsia="標楷體" w:hAnsi="Times New Roman" w:cs="Times New Roman" w:hint="eastAsia"/>
                <w:sz w:val="26"/>
                <w:szCs w:val="26"/>
              </w:rPr>
              <w:t>日內併發症</w:t>
            </w:r>
            <w:r w:rsidRPr="00E31857">
              <w:rPr>
                <w:rFonts w:ascii="Times New Roman" w:eastAsia="標楷體" w:hAnsi="Times New Roman" w:cs="Times New Roman"/>
                <w:sz w:val="26"/>
                <w:szCs w:val="26"/>
              </w:rPr>
              <w:t>(</w:t>
            </w:r>
            <w:r w:rsidRPr="00E31857">
              <w:rPr>
                <w:rFonts w:ascii="Times New Roman" w:eastAsia="標楷體" w:hAnsi="Times New Roman" w:cs="Times New Roman" w:hint="eastAsia"/>
                <w:sz w:val="26"/>
                <w:szCs w:val="26"/>
              </w:rPr>
              <w:t>眼內炎、玻璃體切除術</w:t>
            </w:r>
            <w:r w:rsidRPr="00E31857">
              <w:rPr>
                <w:rFonts w:ascii="Times New Roman" w:eastAsia="標楷體" w:hAnsi="Times New Roman" w:cs="Times New Roman"/>
                <w:sz w:val="26"/>
                <w:szCs w:val="26"/>
              </w:rPr>
              <w:t>)</w:t>
            </w:r>
            <w:r w:rsidRPr="00E31857">
              <w:rPr>
                <w:rFonts w:ascii="Times New Roman" w:eastAsia="標楷體" w:hAnsi="Times New Roman" w:cs="Times New Roman" w:hint="eastAsia"/>
                <w:sz w:val="26"/>
                <w:szCs w:val="26"/>
              </w:rPr>
              <w:t>大於同儕發生率</w:t>
            </w:r>
            <w:r w:rsidRPr="00E31857">
              <w:rPr>
                <w:rFonts w:ascii="Times New Roman" w:eastAsia="標楷體" w:hAnsi="Times New Roman" w:cs="Times New Roman"/>
                <w:sz w:val="26"/>
                <w:szCs w:val="26"/>
              </w:rPr>
              <w:t xml:space="preserve">95 </w:t>
            </w:r>
            <w:r>
              <w:rPr>
                <w:rFonts w:ascii="Times New Roman" w:eastAsia="標楷體" w:hAnsi="Times New Roman" w:cs="Times New Roman" w:hint="eastAsia"/>
                <w:sz w:val="26"/>
                <w:szCs w:val="26"/>
              </w:rPr>
              <w:t>百分位醫師之案件。</w:t>
            </w:r>
          </w:p>
        </w:tc>
      </w:tr>
      <w:tr w:rsidR="00921B1D" w:rsidRPr="00AF7F9B" w14:paraId="62E379F2" w14:textId="77777777" w:rsidTr="00921B1D">
        <w:trPr>
          <w:trHeight w:val="347"/>
          <w:jc w:val="center"/>
        </w:trPr>
        <w:tc>
          <w:tcPr>
            <w:tcW w:w="817" w:type="dxa"/>
            <w:shd w:val="clear" w:color="auto" w:fill="auto"/>
            <w:vAlign w:val="center"/>
          </w:tcPr>
          <w:p w14:paraId="12429AB1" w14:textId="203E4C2E" w:rsidR="00921B1D" w:rsidRPr="008018F7" w:rsidRDefault="00921B1D" w:rsidP="00B078CE">
            <w:pPr>
              <w:spacing w:line="400" w:lineRule="exact"/>
              <w:jc w:val="both"/>
              <w:rPr>
                <w:rFonts w:ascii="Times New Roman" w:eastAsia="標楷體" w:hAnsi="Times New Roman" w:cs="Times New Roman"/>
                <w:szCs w:val="24"/>
              </w:rPr>
            </w:pPr>
            <w:r w:rsidRPr="008018F7">
              <w:rPr>
                <w:rFonts w:ascii="Times New Roman" w:eastAsia="標楷體" w:hAnsi="Times New Roman" w:cs="Times New Roman"/>
                <w:szCs w:val="24"/>
              </w:rPr>
              <w:t>二</w:t>
            </w:r>
          </w:p>
        </w:tc>
        <w:tc>
          <w:tcPr>
            <w:tcW w:w="2835" w:type="dxa"/>
            <w:shd w:val="clear" w:color="auto" w:fill="auto"/>
            <w:vAlign w:val="center"/>
          </w:tcPr>
          <w:p w14:paraId="20354541" w14:textId="5102E78E" w:rsidR="00921B1D" w:rsidRPr="008018F7" w:rsidRDefault="00921B1D" w:rsidP="00A86E1A">
            <w:pPr>
              <w:widowControl/>
              <w:snapToGrid w:val="0"/>
              <w:ind w:rightChars="9" w:right="22"/>
              <w:jc w:val="both"/>
              <w:rPr>
                <w:rFonts w:ascii="Times New Roman" w:eastAsia="標楷體" w:hAnsi="Times New Roman" w:cs="Times New Roman"/>
                <w:kern w:val="0"/>
                <w:szCs w:val="24"/>
              </w:rPr>
            </w:pPr>
            <w:r w:rsidRPr="00D353C8">
              <w:rPr>
                <w:rFonts w:ascii="Times New Roman" w:eastAsia="標楷體" w:hAnsi="Times New Roman" w:cs="Times New Roman"/>
                <w:kern w:val="0"/>
                <w:szCs w:val="24"/>
              </w:rPr>
              <w:t>2023</w:t>
            </w:r>
            <w:r w:rsidRPr="00D353C8">
              <w:rPr>
                <w:rFonts w:ascii="Times New Roman" w:eastAsia="標楷體" w:hAnsi="Times New Roman" w:cs="Times New Roman" w:hint="eastAsia"/>
                <w:kern w:val="0"/>
                <w:szCs w:val="24"/>
              </w:rPr>
              <w:t>年</w:t>
            </w:r>
            <w:r w:rsidRPr="00D353C8">
              <w:rPr>
                <w:rFonts w:ascii="Times New Roman" w:eastAsia="標楷體" w:hAnsi="Times New Roman" w:cs="Times New Roman"/>
                <w:kern w:val="0"/>
                <w:szCs w:val="24"/>
              </w:rPr>
              <w:t>ICD-10-CM/PCS</w:t>
            </w:r>
            <w:r w:rsidRPr="00D353C8">
              <w:rPr>
                <w:rFonts w:ascii="Times New Roman" w:eastAsia="標楷體" w:hAnsi="Times New Roman" w:cs="Times New Roman" w:hint="eastAsia"/>
                <w:kern w:val="0"/>
                <w:szCs w:val="24"/>
              </w:rPr>
              <w:t>轉版</w:t>
            </w:r>
          </w:p>
        </w:tc>
        <w:tc>
          <w:tcPr>
            <w:tcW w:w="11624" w:type="dxa"/>
            <w:shd w:val="clear" w:color="auto" w:fill="auto"/>
            <w:vAlign w:val="center"/>
          </w:tcPr>
          <w:p w14:paraId="36AE96FF" w14:textId="0E199A59" w:rsidR="00921B1D" w:rsidRPr="00810C5D" w:rsidRDefault="00921B1D" w:rsidP="002B1012">
            <w:pPr>
              <w:widowControl/>
              <w:snapToGrid w:val="0"/>
              <w:spacing w:line="280" w:lineRule="exact"/>
              <w:jc w:val="both"/>
              <w:rPr>
                <w:rFonts w:ascii="Times New Roman" w:eastAsia="標楷體" w:hAnsi="Times New Roman" w:cs="Times New Roman"/>
                <w:kern w:val="0"/>
                <w:sz w:val="26"/>
                <w:szCs w:val="26"/>
              </w:rPr>
            </w:pPr>
            <w:r w:rsidRPr="00810C5D">
              <w:rPr>
                <w:rFonts w:ascii="Times New Roman" w:eastAsia="標楷體" w:hAnsi="Times New Roman" w:cs="Times New Roman" w:hint="eastAsia"/>
                <w:sz w:val="26"/>
                <w:szCs w:val="26"/>
              </w:rPr>
              <w:t>有關全民健康保險門、住診醫療申報資料由</w:t>
            </w:r>
            <w:r w:rsidRPr="00810C5D">
              <w:rPr>
                <w:rFonts w:ascii="Times New Roman" w:eastAsia="標楷體" w:hAnsi="Times New Roman" w:cs="Times New Roman"/>
                <w:sz w:val="26"/>
                <w:szCs w:val="26"/>
              </w:rPr>
              <w:t>2014</w:t>
            </w:r>
            <w:r w:rsidRPr="00810C5D">
              <w:rPr>
                <w:rFonts w:ascii="Times New Roman" w:eastAsia="標楷體" w:hAnsi="Times New Roman" w:cs="Times New Roman" w:hint="eastAsia"/>
                <w:sz w:val="26"/>
                <w:szCs w:val="26"/>
              </w:rPr>
              <w:t>年版</w:t>
            </w:r>
            <w:r w:rsidRPr="00810C5D">
              <w:rPr>
                <w:rFonts w:ascii="Times New Roman" w:eastAsia="標楷體" w:hAnsi="Times New Roman" w:cs="Times New Roman"/>
                <w:sz w:val="26"/>
                <w:szCs w:val="26"/>
              </w:rPr>
              <w:t>ICD-10-CM/PCS</w:t>
            </w:r>
            <w:r w:rsidRPr="00810C5D">
              <w:rPr>
                <w:rFonts w:ascii="Times New Roman" w:eastAsia="標楷體" w:hAnsi="Times New Roman" w:cs="Times New Roman" w:hint="eastAsia"/>
                <w:sz w:val="26"/>
                <w:szCs w:val="26"/>
              </w:rPr>
              <w:t>轉版為</w:t>
            </w:r>
            <w:r w:rsidRPr="00810C5D">
              <w:rPr>
                <w:rFonts w:ascii="Times New Roman" w:eastAsia="標楷體" w:hAnsi="Times New Roman" w:cs="Times New Roman"/>
                <w:sz w:val="26"/>
                <w:szCs w:val="26"/>
              </w:rPr>
              <w:t>2023</w:t>
            </w:r>
            <w:r w:rsidRPr="00810C5D">
              <w:rPr>
                <w:rFonts w:ascii="Times New Roman" w:eastAsia="標楷體" w:hAnsi="Times New Roman" w:cs="Times New Roman" w:hint="eastAsia"/>
                <w:sz w:val="26"/>
                <w:szCs w:val="26"/>
              </w:rPr>
              <w:t>年版，延後至</w:t>
            </w:r>
            <w:r w:rsidRPr="00810C5D">
              <w:rPr>
                <w:rFonts w:ascii="Times New Roman" w:eastAsia="標楷體" w:hAnsi="Times New Roman" w:cs="Times New Roman"/>
                <w:sz w:val="26"/>
                <w:szCs w:val="26"/>
              </w:rPr>
              <w:t>114</w:t>
            </w:r>
            <w:r w:rsidRPr="00810C5D">
              <w:rPr>
                <w:rFonts w:ascii="Times New Roman" w:eastAsia="標楷體" w:hAnsi="Times New Roman" w:cs="Times New Roman" w:hint="eastAsia"/>
                <w:sz w:val="26"/>
                <w:szCs w:val="26"/>
              </w:rPr>
              <w:t>年</w:t>
            </w:r>
            <w:r w:rsidRPr="00810C5D">
              <w:rPr>
                <w:rFonts w:ascii="Times New Roman" w:eastAsia="標楷體" w:hAnsi="Times New Roman" w:cs="Times New Roman"/>
                <w:sz w:val="26"/>
                <w:szCs w:val="26"/>
              </w:rPr>
              <w:t>1</w:t>
            </w:r>
            <w:r w:rsidRPr="00810C5D">
              <w:rPr>
                <w:rFonts w:ascii="Times New Roman" w:eastAsia="標楷體" w:hAnsi="Times New Roman" w:cs="Times New Roman" w:hint="eastAsia"/>
                <w:sz w:val="26"/>
                <w:szCs w:val="26"/>
              </w:rPr>
              <w:t>月</w:t>
            </w:r>
            <w:r w:rsidRPr="00810C5D">
              <w:rPr>
                <w:rFonts w:ascii="Times New Roman" w:eastAsia="標楷體" w:hAnsi="Times New Roman" w:cs="Times New Roman"/>
                <w:sz w:val="26"/>
                <w:szCs w:val="26"/>
              </w:rPr>
              <w:t>1</w:t>
            </w:r>
            <w:r w:rsidRPr="00810C5D">
              <w:rPr>
                <w:rFonts w:ascii="Times New Roman" w:eastAsia="標楷體" w:hAnsi="Times New Roman" w:cs="Times New Roman" w:hint="eastAsia"/>
                <w:sz w:val="26"/>
                <w:szCs w:val="26"/>
              </w:rPr>
              <w:t>日上線；轉版相關資料，已建置於健保署全球資訊網</w:t>
            </w:r>
            <w:r w:rsidRPr="00810C5D">
              <w:rPr>
                <w:rFonts w:ascii="Times New Roman" w:eastAsia="標楷體" w:hAnsi="Times New Roman" w:cs="Times New Roman"/>
                <w:sz w:val="26"/>
                <w:szCs w:val="26"/>
              </w:rPr>
              <w:t>(</w:t>
            </w:r>
            <w:r w:rsidRPr="00810C5D">
              <w:rPr>
                <w:rFonts w:ascii="Times New Roman" w:eastAsia="標楷體" w:hAnsi="Times New Roman" w:cs="Times New Roman" w:hint="eastAsia"/>
                <w:sz w:val="26"/>
                <w:szCs w:val="26"/>
              </w:rPr>
              <w:t>健保署全球資訊網首頁</w:t>
            </w:r>
            <w:r w:rsidRPr="00810C5D">
              <w:rPr>
                <w:rFonts w:ascii="Times New Roman" w:eastAsia="標楷體" w:hAnsi="Times New Roman" w:cs="Times New Roman"/>
                <w:sz w:val="26"/>
                <w:szCs w:val="26"/>
              </w:rPr>
              <w:t>/</w:t>
            </w:r>
            <w:r w:rsidRPr="00810C5D">
              <w:rPr>
                <w:rFonts w:ascii="Times New Roman" w:eastAsia="標楷體" w:hAnsi="Times New Roman" w:cs="Times New Roman" w:hint="eastAsia"/>
                <w:sz w:val="26"/>
                <w:szCs w:val="26"/>
              </w:rPr>
              <w:t>健保資料站</w:t>
            </w:r>
            <w:r w:rsidRPr="00810C5D">
              <w:rPr>
                <w:rFonts w:ascii="Times New Roman" w:eastAsia="標楷體" w:hAnsi="Times New Roman" w:cs="Times New Roman"/>
                <w:sz w:val="26"/>
                <w:szCs w:val="26"/>
              </w:rPr>
              <w:t>/</w:t>
            </w:r>
            <w:r w:rsidRPr="00810C5D">
              <w:rPr>
                <w:rFonts w:ascii="Times New Roman" w:eastAsia="標楷體" w:hAnsi="Times New Roman" w:cs="Times New Roman" w:hint="eastAsia"/>
                <w:sz w:val="26"/>
                <w:szCs w:val="26"/>
              </w:rPr>
              <w:t>國際疾病分類第</w:t>
            </w:r>
            <w:r w:rsidRPr="00810C5D">
              <w:rPr>
                <w:rFonts w:ascii="Times New Roman" w:eastAsia="標楷體" w:hAnsi="Times New Roman" w:cs="Times New Roman"/>
                <w:sz w:val="26"/>
                <w:szCs w:val="26"/>
              </w:rPr>
              <w:t>10</w:t>
            </w:r>
            <w:r w:rsidRPr="00810C5D">
              <w:rPr>
                <w:rFonts w:ascii="Times New Roman" w:eastAsia="標楷體" w:hAnsi="Times New Roman" w:cs="Times New Roman" w:hint="eastAsia"/>
                <w:sz w:val="26"/>
                <w:szCs w:val="26"/>
              </w:rPr>
              <w:t>版</w:t>
            </w:r>
            <w:r w:rsidRPr="00810C5D">
              <w:rPr>
                <w:rFonts w:ascii="Times New Roman" w:eastAsia="標楷體" w:hAnsi="Times New Roman" w:cs="Times New Roman"/>
                <w:sz w:val="26"/>
                <w:szCs w:val="26"/>
              </w:rPr>
              <w:t>/</w:t>
            </w:r>
            <w:r w:rsidRPr="00810C5D">
              <w:rPr>
                <w:rFonts w:ascii="Times New Roman" w:eastAsia="標楷體" w:hAnsi="Times New Roman" w:cs="Times New Roman" w:hint="eastAsia"/>
                <w:sz w:val="26"/>
                <w:szCs w:val="26"/>
              </w:rPr>
              <w:t>國際疾病分類第十版</w:t>
            </w:r>
            <w:r w:rsidRPr="00810C5D">
              <w:rPr>
                <w:rFonts w:ascii="Times New Roman" w:eastAsia="標楷體" w:hAnsi="Times New Roman" w:cs="Times New Roman"/>
                <w:sz w:val="26"/>
                <w:szCs w:val="26"/>
              </w:rPr>
              <w:t>)</w:t>
            </w:r>
            <w:r w:rsidRPr="00810C5D">
              <w:rPr>
                <w:rFonts w:ascii="Times New Roman" w:eastAsia="標楷體" w:hAnsi="Times New Roman" w:cs="Times New Roman" w:hint="eastAsia"/>
                <w:sz w:val="26"/>
                <w:szCs w:val="26"/>
              </w:rPr>
              <w:t>；健保署將持續輔導追蹤特約院所系統修改進度及意見蒐集，進行滾動性調整。</w:t>
            </w:r>
          </w:p>
        </w:tc>
      </w:tr>
      <w:tr w:rsidR="00921B1D" w:rsidRPr="00AF7F9B" w14:paraId="57636289" w14:textId="77777777" w:rsidTr="00921B1D">
        <w:trPr>
          <w:trHeight w:val="347"/>
          <w:jc w:val="center"/>
        </w:trPr>
        <w:tc>
          <w:tcPr>
            <w:tcW w:w="817" w:type="dxa"/>
            <w:shd w:val="clear" w:color="auto" w:fill="auto"/>
            <w:vAlign w:val="center"/>
          </w:tcPr>
          <w:p w14:paraId="3706B09B" w14:textId="10FD5562" w:rsidR="00921B1D" w:rsidRPr="008018F7" w:rsidRDefault="00921B1D" w:rsidP="00B078CE">
            <w:pPr>
              <w:spacing w:line="400" w:lineRule="exact"/>
              <w:jc w:val="both"/>
              <w:rPr>
                <w:rFonts w:ascii="Times New Roman" w:eastAsia="標楷體" w:hAnsi="Times New Roman" w:cs="Times New Roman"/>
                <w:szCs w:val="24"/>
              </w:rPr>
            </w:pPr>
            <w:r w:rsidRPr="008018F7">
              <w:rPr>
                <w:rFonts w:ascii="Times New Roman" w:eastAsia="標楷體" w:hAnsi="Times New Roman" w:cs="Times New Roman"/>
                <w:szCs w:val="24"/>
              </w:rPr>
              <w:t>三</w:t>
            </w:r>
          </w:p>
        </w:tc>
        <w:tc>
          <w:tcPr>
            <w:tcW w:w="2835" w:type="dxa"/>
            <w:shd w:val="clear" w:color="auto" w:fill="auto"/>
            <w:vAlign w:val="center"/>
          </w:tcPr>
          <w:p w14:paraId="16B20187" w14:textId="23C4FA89" w:rsidR="00921B1D" w:rsidRPr="008018F7" w:rsidRDefault="00921B1D" w:rsidP="00C008DB">
            <w:pPr>
              <w:widowControl/>
              <w:snapToGrid w:val="0"/>
              <w:ind w:rightChars="9" w:right="22"/>
              <w:jc w:val="both"/>
              <w:rPr>
                <w:rFonts w:ascii="Times New Roman" w:eastAsia="標楷體" w:hAnsi="Times New Roman" w:cs="Times New Roman"/>
                <w:kern w:val="0"/>
                <w:szCs w:val="24"/>
              </w:rPr>
            </w:pPr>
            <w:r w:rsidRPr="0066725A">
              <w:rPr>
                <w:rFonts w:ascii="Times New Roman" w:eastAsia="標楷體" w:hAnsi="Times New Roman" w:cs="Times New Roman"/>
                <w:sz w:val="26"/>
                <w:szCs w:val="26"/>
              </w:rPr>
              <w:t>B</w:t>
            </w:r>
            <w:r w:rsidRPr="0066725A">
              <w:rPr>
                <w:rFonts w:ascii="Times New Roman" w:eastAsia="標楷體" w:hAnsi="Times New Roman" w:cs="Times New Roman"/>
                <w:sz w:val="26"/>
                <w:szCs w:val="26"/>
              </w:rPr>
              <w:t>、</w:t>
            </w:r>
            <w:r w:rsidRPr="0066725A">
              <w:rPr>
                <w:rFonts w:ascii="Times New Roman" w:eastAsia="標楷體" w:hAnsi="Times New Roman" w:cs="Times New Roman"/>
                <w:sz w:val="26"/>
                <w:szCs w:val="26"/>
              </w:rPr>
              <w:t>C</w:t>
            </w:r>
            <w:r w:rsidRPr="0066725A">
              <w:rPr>
                <w:rFonts w:ascii="Times New Roman" w:eastAsia="標楷體" w:hAnsi="Times New Roman" w:cs="Times New Roman"/>
                <w:sz w:val="26"/>
                <w:szCs w:val="26"/>
              </w:rPr>
              <w:t>型肝炎篩檢服務、</w:t>
            </w:r>
            <w:r w:rsidRPr="0066725A">
              <w:rPr>
                <w:rFonts w:ascii="Times New Roman" w:eastAsia="標楷體" w:hAnsi="Times New Roman" w:cs="Times New Roman" w:hint="eastAsia"/>
                <w:kern w:val="0"/>
                <w:szCs w:val="24"/>
              </w:rPr>
              <w:t>放寬不限專科別醫師均可開立</w:t>
            </w:r>
            <w:r w:rsidRPr="0066725A">
              <w:rPr>
                <w:rFonts w:ascii="Times New Roman" w:eastAsia="標楷體" w:hAnsi="Times New Roman" w:cs="Times New Roman" w:hint="eastAsia"/>
                <w:kern w:val="0"/>
                <w:szCs w:val="24"/>
              </w:rPr>
              <w:t>C</w:t>
            </w:r>
            <w:r>
              <w:rPr>
                <w:rFonts w:ascii="Times New Roman" w:eastAsia="標楷體" w:hAnsi="Times New Roman" w:cs="Times New Roman" w:hint="eastAsia"/>
                <w:kern w:val="0"/>
                <w:szCs w:val="24"/>
              </w:rPr>
              <w:t>肝口服新藥宣導</w:t>
            </w:r>
          </w:p>
        </w:tc>
        <w:tc>
          <w:tcPr>
            <w:tcW w:w="11624" w:type="dxa"/>
            <w:shd w:val="clear" w:color="auto" w:fill="auto"/>
            <w:vAlign w:val="center"/>
          </w:tcPr>
          <w:p w14:paraId="45F15C01" w14:textId="2B2D4E0F" w:rsidR="00921B1D" w:rsidRPr="003B13C1" w:rsidRDefault="00921B1D" w:rsidP="00810C5D">
            <w:pPr>
              <w:widowControl/>
              <w:snapToGrid w:val="0"/>
              <w:spacing w:line="280" w:lineRule="exact"/>
              <w:jc w:val="both"/>
              <w:rPr>
                <w:rFonts w:ascii="Times New Roman" w:eastAsia="標楷體" w:hAnsi="Times New Roman" w:cs="Times New Roman"/>
                <w:sz w:val="26"/>
                <w:szCs w:val="26"/>
              </w:rPr>
            </w:pPr>
            <w:r w:rsidRPr="00D353C8">
              <w:rPr>
                <w:rFonts w:ascii="Times New Roman" w:eastAsia="標楷體" w:hAnsi="Times New Roman" w:cs="Times New Roman" w:hint="eastAsia"/>
                <w:sz w:val="26"/>
                <w:szCs w:val="26"/>
              </w:rPr>
              <w:t>國健署提供</w:t>
            </w:r>
            <w:r w:rsidRPr="00D353C8">
              <w:rPr>
                <w:rFonts w:ascii="Times New Roman" w:eastAsia="標楷體" w:hAnsi="Times New Roman" w:cs="Times New Roman" w:hint="eastAsia"/>
                <w:sz w:val="26"/>
                <w:szCs w:val="26"/>
              </w:rPr>
              <w:t>45</w:t>
            </w:r>
            <w:r w:rsidRPr="00D353C8">
              <w:rPr>
                <w:rFonts w:ascii="Times New Roman" w:eastAsia="標楷體" w:hAnsi="Times New Roman" w:cs="Times New Roman" w:hint="eastAsia"/>
                <w:sz w:val="26"/>
                <w:szCs w:val="26"/>
              </w:rPr>
              <w:t>歲至</w:t>
            </w:r>
            <w:r w:rsidRPr="00D353C8">
              <w:rPr>
                <w:rFonts w:ascii="Times New Roman" w:eastAsia="標楷體" w:hAnsi="Times New Roman" w:cs="Times New Roman" w:hint="eastAsia"/>
                <w:sz w:val="26"/>
                <w:szCs w:val="26"/>
              </w:rPr>
              <w:t>79</w:t>
            </w:r>
            <w:r w:rsidRPr="00D353C8">
              <w:rPr>
                <w:rFonts w:ascii="Times New Roman" w:eastAsia="標楷體" w:hAnsi="Times New Roman" w:cs="Times New Roman" w:hint="eastAsia"/>
                <w:sz w:val="26"/>
                <w:szCs w:val="26"/>
              </w:rPr>
              <w:t>歲民眾</w:t>
            </w:r>
            <w:r w:rsidRPr="00D353C8">
              <w:rPr>
                <w:rFonts w:ascii="Times New Roman" w:eastAsia="標楷體" w:hAnsi="Times New Roman" w:cs="Times New Roman" w:hint="eastAsia"/>
                <w:sz w:val="26"/>
                <w:szCs w:val="26"/>
              </w:rPr>
              <w:t>(</w:t>
            </w:r>
            <w:r w:rsidRPr="00D353C8">
              <w:rPr>
                <w:rFonts w:ascii="Times New Roman" w:eastAsia="標楷體" w:hAnsi="Times New Roman" w:cs="Times New Roman" w:hint="eastAsia"/>
                <w:sz w:val="26"/>
                <w:szCs w:val="26"/>
              </w:rPr>
              <w:t>原住民提早至</w:t>
            </w:r>
            <w:r w:rsidRPr="00D353C8">
              <w:rPr>
                <w:rFonts w:ascii="Times New Roman" w:eastAsia="標楷體" w:hAnsi="Times New Roman" w:cs="Times New Roman" w:hint="eastAsia"/>
                <w:sz w:val="26"/>
                <w:szCs w:val="26"/>
              </w:rPr>
              <w:t>40</w:t>
            </w:r>
            <w:r w:rsidRPr="00D353C8">
              <w:rPr>
                <w:rFonts w:ascii="Times New Roman" w:eastAsia="標楷體" w:hAnsi="Times New Roman" w:cs="Times New Roman" w:hint="eastAsia"/>
                <w:sz w:val="26"/>
                <w:szCs w:val="26"/>
              </w:rPr>
              <w:t>歲</w:t>
            </w:r>
            <w:r w:rsidRPr="00D353C8">
              <w:rPr>
                <w:rFonts w:ascii="Times New Roman" w:eastAsia="標楷體" w:hAnsi="Times New Roman" w:cs="Times New Roman" w:hint="eastAsia"/>
                <w:sz w:val="26"/>
                <w:szCs w:val="26"/>
              </w:rPr>
              <w:t>)</w:t>
            </w:r>
            <w:r w:rsidRPr="00D353C8">
              <w:rPr>
                <w:rFonts w:ascii="Times New Roman" w:eastAsia="標楷體" w:hAnsi="Times New Roman" w:cs="Times New Roman" w:hint="eastAsia"/>
                <w:sz w:val="26"/>
                <w:szCs w:val="26"/>
              </w:rPr>
              <w:t>終身一次的</w:t>
            </w:r>
            <w:r w:rsidRPr="00D353C8">
              <w:rPr>
                <w:rFonts w:ascii="Times New Roman" w:eastAsia="標楷體" w:hAnsi="Times New Roman" w:cs="Times New Roman" w:hint="eastAsia"/>
                <w:sz w:val="26"/>
                <w:szCs w:val="26"/>
              </w:rPr>
              <w:t>B</w:t>
            </w:r>
            <w:r w:rsidRPr="00D353C8">
              <w:rPr>
                <w:rFonts w:ascii="Times New Roman" w:eastAsia="標楷體" w:hAnsi="Times New Roman" w:cs="Times New Roman" w:hint="eastAsia"/>
                <w:sz w:val="26"/>
                <w:szCs w:val="26"/>
              </w:rPr>
              <w:t>、</w:t>
            </w:r>
            <w:r w:rsidRPr="00D353C8">
              <w:rPr>
                <w:rFonts w:ascii="Times New Roman" w:eastAsia="標楷體" w:hAnsi="Times New Roman" w:cs="Times New Roman" w:hint="eastAsia"/>
                <w:sz w:val="26"/>
                <w:szCs w:val="26"/>
              </w:rPr>
              <w:t>C</w:t>
            </w:r>
            <w:r w:rsidRPr="00D353C8">
              <w:rPr>
                <w:rFonts w:ascii="Times New Roman" w:eastAsia="標楷體" w:hAnsi="Times New Roman" w:cs="Times New Roman" w:hint="eastAsia"/>
                <w:sz w:val="26"/>
                <w:szCs w:val="26"/>
              </w:rPr>
              <w:t>型肝炎篩檢服務；</w:t>
            </w:r>
            <w:r w:rsidRPr="0066725A">
              <w:rPr>
                <w:rFonts w:ascii="Times New Roman" w:eastAsia="標楷體" w:hAnsi="Times New Roman" w:cs="Times New Roman"/>
                <w:sz w:val="26"/>
                <w:szCs w:val="26"/>
              </w:rPr>
              <w:t>另健保署</w:t>
            </w:r>
            <w:r w:rsidRPr="00D353C8">
              <w:rPr>
                <w:rFonts w:ascii="Times New Roman" w:eastAsia="標楷體" w:hAnsi="Times New Roman" w:cs="Times New Roman" w:hint="eastAsia"/>
                <w:sz w:val="26"/>
                <w:szCs w:val="26"/>
              </w:rPr>
              <w:t>於雲端系統建置「</w:t>
            </w:r>
            <w:r w:rsidRPr="00D353C8">
              <w:rPr>
                <w:rFonts w:ascii="Times New Roman" w:eastAsia="標楷體" w:hAnsi="Times New Roman" w:cs="Times New Roman" w:hint="eastAsia"/>
                <w:sz w:val="26"/>
                <w:szCs w:val="26"/>
              </w:rPr>
              <w:t>B</w:t>
            </w:r>
            <w:r w:rsidRPr="00D353C8">
              <w:rPr>
                <w:rFonts w:ascii="Times New Roman" w:eastAsia="標楷體" w:hAnsi="Times New Roman" w:cs="Times New Roman" w:hint="eastAsia"/>
                <w:sz w:val="26"/>
                <w:szCs w:val="26"/>
              </w:rPr>
              <w:t>、</w:t>
            </w:r>
            <w:r w:rsidRPr="00D353C8">
              <w:rPr>
                <w:rFonts w:ascii="Times New Roman" w:eastAsia="標楷體" w:hAnsi="Times New Roman" w:cs="Times New Roman" w:hint="eastAsia"/>
                <w:sz w:val="26"/>
                <w:szCs w:val="26"/>
              </w:rPr>
              <w:t>C</w:t>
            </w:r>
            <w:r w:rsidRPr="00D353C8">
              <w:rPr>
                <w:rFonts w:ascii="Times New Roman" w:eastAsia="標楷體" w:hAnsi="Times New Roman" w:cs="Times New Roman" w:hint="eastAsia"/>
                <w:sz w:val="26"/>
                <w:szCs w:val="26"/>
              </w:rPr>
              <w:t>肝炎專區」，可查詢病人最近</w:t>
            </w:r>
            <w:r w:rsidRPr="00D353C8">
              <w:rPr>
                <w:rFonts w:ascii="Times New Roman" w:eastAsia="標楷體" w:hAnsi="Times New Roman" w:cs="Times New Roman" w:hint="eastAsia"/>
                <w:sz w:val="26"/>
                <w:szCs w:val="26"/>
              </w:rPr>
              <w:t>1</w:t>
            </w:r>
            <w:r w:rsidRPr="00D353C8">
              <w:rPr>
                <w:rFonts w:ascii="Times New Roman" w:eastAsia="標楷體" w:hAnsi="Times New Roman" w:cs="Times New Roman" w:hint="eastAsia"/>
                <w:sz w:val="26"/>
                <w:szCs w:val="26"/>
              </w:rPr>
              <w:t>次</w:t>
            </w:r>
            <w:r w:rsidRPr="00D353C8">
              <w:rPr>
                <w:rFonts w:ascii="Times New Roman" w:eastAsia="標楷體" w:hAnsi="Times New Roman" w:cs="Times New Roman" w:hint="eastAsia"/>
                <w:sz w:val="26"/>
                <w:szCs w:val="26"/>
              </w:rPr>
              <w:t>B</w:t>
            </w:r>
            <w:r w:rsidRPr="00D353C8">
              <w:rPr>
                <w:rFonts w:ascii="Times New Roman" w:eastAsia="標楷體" w:hAnsi="Times New Roman" w:cs="Times New Roman" w:hint="eastAsia"/>
                <w:sz w:val="26"/>
                <w:szCs w:val="26"/>
              </w:rPr>
              <w:t>、</w:t>
            </w:r>
            <w:r w:rsidRPr="00D353C8">
              <w:rPr>
                <w:rFonts w:ascii="Times New Roman" w:eastAsia="標楷體" w:hAnsi="Times New Roman" w:cs="Times New Roman" w:hint="eastAsia"/>
                <w:sz w:val="26"/>
                <w:szCs w:val="26"/>
              </w:rPr>
              <w:t>C</w:t>
            </w:r>
            <w:r>
              <w:rPr>
                <w:rFonts w:ascii="Times New Roman" w:eastAsia="標楷體" w:hAnsi="Times New Roman" w:cs="Times New Roman" w:hint="eastAsia"/>
                <w:sz w:val="26"/>
                <w:szCs w:val="26"/>
              </w:rPr>
              <w:t>肝炎相關用藥、檢驗檢查、就醫紀錄等，請多加利用。</w:t>
            </w:r>
            <w:r w:rsidRPr="00D353C8">
              <w:rPr>
                <w:rFonts w:ascii="Times New Roman" w:eastAsia="標楷體" w:hAnsi="Times New Roman" w:cs="Times New Roman" w:hint="eastAsia"/>
                <w:sz w:val="26"/>
                <w:szCs w:val="26"/>
              </w:rPr>
              <w:t>自</w:t>
            </w:r>
            <w:r w:rsidRPr="00D353C8">
              <w:rPr>
                <w:rFonts w:ascii="Times New Roman" w:eastAsia="標楷體" w:hAnsi="Times New Roman" w:cs="Times New Roman" w:hint="eastAsia"/>
                <w:sz w:val="26"/>
                <w:szCs w:val="26"/>
              </w:rPr>
              <w:t>110</w:t>
            </w:r>
            <w:r w:rsidRPr="00D353C8">
              <w:rPr>
                <w:rFonts w:ascii="Times New Roman" w:eastAsia="標楷體" w:hAnsi="Times New Roman" w:cs="Times New Roman" w:hint="eastAsia"/>
                <w:sz w:val="26"/>
                <w:szCs w:val="26"/>
              </w:rPr>
              <w:t>年</w:t>
            </w:r>
            <w:r w:rsidRPr="00D353C8">
              <w:rPr>
                <w:rFonts w:ascii="Times New Roman" w:eastAsia="標楷體" w:hAnsi="Times New Roman" w:cs="Times New Roman" w:hint="eastAsia"/>
                <w:sz w:val="26"/>
                <w:szCs w:val="26"/>
              </w:rPr>
              <w:t>10</w:t>
            </w:r>
            <w:r w:rsidRPr="00D353C8">
              <w:rPr>
                <w:rFonts w:ascii="Times New Roman" w:eastAsia="標楷體" w:hAnsi="Times New Roman" w:cs="Times New Roman" w:hint="eastAsia"/>
                <w:sz w:val="26"/>
                <w:szCs w:val="26"/>
              </w:rPr>
              <w:t>月</w:t>
            </w:r>
            <w:r w:rsidRPr="00D353C8">
              <w:rPr>
                <w:rFonts w:ascii="Times New Roman" w:eastAsia="標楷體" w:hAnsi="Times New Roman" w:cs="Times New Roman" w:hint="eastAsia"/>
                <w:sz w:val="26"/>
                <w:szCs w:val="26"/>
              </w:rPr>
              <w:t>22</w:t>
            </w:r>
            <w:r w:rsidRPr="00D353C8">
              <w:rPr>
                <w:rFonts w:ascii="Times New Roman" w:eastAsia="標楷體" w:hAnsi="Times New Roman" w:cs="Times New Roman" w:hint="eastAsia"/>
                <w:sz w:val="26"/>
                <w:szCs w:val="26"/>
              </w:rPr>
              <w:t>日起，放寬不限專科別醫師均可開立</w:t>
            </w:r>
            <w:r w:rsidRPr="00D353C8">
              <w:rPr>
                <w:rFonts w:ascii="Times New Roman" w:eastAsia="標楷體" w:hAnsi="Times New Roman" w:cs="Times New Roman" w:hint="eastAsia"/>
                <w:sz w:val="26"/>
                <w:szCs w:val="26"/>
              </w:rPr>
              <w:t>C</w:t>
            </w:r>
            <w:r w:rsidRPr="00D353C8">
              <w:rPr>
                <w:rFonts w:ascii="Times New Roman" w:eastAsia="標楷體" w:hAnsi="Times New Roman" w:cs="Times New Roman" w:hint="eastAsia"/>
                <w:sz w:val="26"/>
                <w:szCs w:val="26"/>
              </w:rPr>
              <w:t>肝口服新藥，鼓勵醫師加入治療行列，收案後請定期追蹤個案用藥及回診之情形，避免療程中斷影響藥品療效及無法評估治療成果；</w:t>
            </w:r>
            <w:r w:rsidRPr="0066725A">
              <w:rPr>
                <w:rFonts w:ascii="Times New Roman" w:eastAsia="標楷體" w:hAnsi="Times New Roman" w:cs="Times New Roman"/>
                <w:sz w:val="26"/>
                <w:szCs w:val="26"/>
              </w:rPr>
              <w:t>臺北業務組</w:t>
            </w:r>
            <w:r w:rsidRPr="00D353C8">
              <w:rPr>
                <w:rFonts w:ascii="Times New Roman" w:eastAsia="標楷體" w:hAnsi="Times New Roman" w:cs="Times New Roman" w:hint="eastAsia"/>
                <w:sz w:val="26"/>
                <w:szCs w:val="26"/>
              </w:rPr>
              <w:t>於</w:t>
            </w:r>
            <w:r w:rsidRPr="00D353C8">
              <w:rPr>
                <w:rFonts w:ascii="Times New Roman" w:eastAsia="標楷體" w:hAnsi="Times New Roman" w:cs="Times New Roman" w:hint="eastAsia"/>
                <w:sz w:val="26"/>
                <w:szCs w:val="26"/>
              </w:rPr>
              <w:t>112</w:t>
            </w:r>
            <w:r w:rsidRPr="00D353C8">
              <w:rPr>
                <w:rFonts w:ascii="Times New Roman" w:eastAsia="標楷體" w:hAnsi="Times New Roman" w:cs="Times New Roman" w:hint="eastAsia"/>
                <w:sz w:val="26"/>
                <w:szCs w:val="26"/>
              </w:rPr>
              <w:t>年</w:t>
            </w:r>
            <w:r w:rsidRPr="00D353C8">
              <w:rPr>
                <w:rFonts w:ascii="Times New Roman" w:eastAsia="標楷體" w:hAnsi="Times New Roman" w:cs="Times New Roman" w:hint="eastAsia"/>
                <w:sz w:val="26"/>
                <w:szCs w:val="26"/>
              </w:rPr>
              <w:t>5</w:t>
            </w:r>
            <w:r w:rsidRPr="00D353C8">
              <w:rPr>
                <w:rFonts w:ascii="Times New Roman" w:eastAsia="標楷體" w:hAnsi="Times New Roman" w:cs="Times New Roman" w:hint="eastAsia"/>
                <w:sz w:val="26"/>
                <w:szCs w:val="26"/>
              </w:rPr>
              <w:t>月回饋</w:t>
            </w:r>
            <w:r w:rsidRPr="00D353C8">
              <w:rPr>
                <w:rFonts w:ascii="Times New Roman" w:eastAsia="標楷體" w:hAnsi="Times New Roman" w:cs="Times New Roman" w:hint="eastAsia"/>
                <w:sz w:val="26"/>
                <w:szCs w:val="26"/>
              </w:rPr>
              <w:t>C</w:t>
            </w:r>
            <w:r w:rsidRPr="00D353C8">
              <w:rPr>
                <w:rFonts w:ascii="Times New Roman" w:eastAsia="標楷體" w:hAnsi="Times New Roman" w:cs="Times New Roman" w:hint="eastAsia"/>
                <w:sz w:val="26"/>
                <w:szCs w:val="26"/>
              </w:rPr>
              <w:t>肝潛在個案予醫療院所參考，請進一步評估個案後續</w:t>
            </w:r>
            <w:r w:rsidRPr="00D353C8">
              <w:rPr>
                <w:rFonts w:ascii="Times New Roman" w:eastAsia="標楷體" w:hAnsi="Times New Roman" w:cs="Times New Roman" w:hint="eastAsia"/>
                <w:sz w:val="26"/>
                <w:szCs w:val="26"/>
              </w:rPr>
              <w:t>RNA</w:t>
            </w:r>
            <w:r w:rsidRPr="00D353C8">
              <w:rPr>
                <w:rFonts w:ascii="Times New Roman" w:eastAsia="標楷體" w:hAnsi="Times New Roman" w:cs="Times New Roman" w:hint="eastAsia"/>
                <w:sz w:val="26"/>
                <w:szCs w:val="26"/>
              </w:rPr>
              <w:t>檢驗及治療之必要性；為利</w:t>
            </w:r>
            <w:r w:rsidRPr="00D353C8">
              <w:rPr>
                <w:rFonts w:ascii="Times New Roman" w:eastAsia="標楷體" w:hAnsi="Times New Roman" w:cs="Times New Roman" w:hint="eastAsia"/>
                <w:sz w:val="26"/>
                <w:szCs w:val="26"/>
              </w:rPr>
              <w:t>C</w:t>
            </w:r>
            <w:r>
              <w:rPr>
                <w:rFonts w:ascii="Times New Roman" w:eastAsia="標楷體" w:hAnsi="Times New Roman" w:cs="Times New Roman" w:hint="eastAsia"/>
                <w:sz w:val="26"/>
                <w:szCs w:val="26"/>
              </w:rPr>
              <w:t>肝病人收治。</w:t>
            </w:r>
            <w:r w:rsidRPr="00D353C8">
              <w:rPr>
                <w:rFonts w:ascii="Times New Roman" w:eastAsia="標楷體" w:hAnsi="Times New Roman" w:cs="Times New Roman" w:hint="eastAsia"/>
                <w:sz w:val="26"/>
                <w:szCs w:val="26"/>
              </w:rPr>
              <w:t>如診所有意願接受</w:t>
            </w:r>
            <w:r w:rsidRPr="00D353C8">
              <w:rPr>
                <w:rFonts w:ascii="Times New Roman" w:eastAsia="標楷體" w:hAnsi="Times New Roman" w:cs="Times New Roman" w:hint="eastAsia"/>
                <w:sz w:val="26"/>
                <w:szCs w:val="26"/>
              </w:rPr>
              <w:t>C</w:t>
            </w:r>
            <w:r w:rsidRPr="00D353C8">
              <w:rPr>
                <w:rFonts w:ascii="Times New Roman" w:eastAsia="標楷體" w:hAnsi="Times New Roman" w:cs="Times New Roman" w:hint="eastAsia"/>
                <w:sz w:val="26"/>
                <w:szCs w:val="26"/>
              </w:rPr>
              <w:t>肝病人轉介，</w:t>
            </w:r>
            <w:r w:rsidRPr="0066725A">
              <w:rPr>
                <w:rFonts w:ascii="Times New Roman" w:eastAsia="標楷體" w:hAnsi="Times New Roman" w:cs="Times New Roman"/>
                <w:sz w:val="26"/>
                <w:szCs w:val="26"/>
              </w:rPr>
              <w:t>請洽台北業務組窗口莊小姐</w:t>
            </w:r>
            <w:r w:rsidRPr="0066725A">
              <w:rPr>
                <w:rFonts w:ascii="Times New Roman" w:eastAsia="標楷體" w:hAnsi="Times New Roman" w:cs="Times New Roman"/>
                <w:sz w:val="26"/>
                <w:szCs w:val="26"/>
              </w:rPr>
              <w:t>02-2348-6403</w:t>
            </w:r>
            <w:r w:rsidRPr="0066725A">
              <w:rPr>
                <w:rFonts w:ascii="Times New Roman" w:eastAsia="標楷體" w:hAnsi="Times New Roman" w:cs="Times New Roman"/>
                <w:sz w:val="26"/>
                <w:szCs w:val="26"/>
              </w:rPr>
              <w:t>。</w:t>
            </w:r>
          </w:p>
        </w:tc>
      </w:tr>
      <w:tr w:rsidR="00921B1D" w:rsidRPr="00AF7F9B" w14:paraId="01AE14DE" w14:textId="77777777" w:rsidTr="00921B1D">
        <w:trPr>
          <w:trHeight w:val="347"/>
          <w:jc w:val="center"/>
        </w:trPr>
        <w:tc>
          <w:tcPr>
            <w:tcW w:w="817" w:type="dxa"/>
            <w:shd w:val="clear" w:color="auto" w:fill="auto"/>
            <w:vAlign w:val="center"/>
          </w:tcPr>
          <w:p w14:paraId="68657C5D" w14:textId="61C14DD1" w:rsidR="00921B1D" w:rsidRPr="008018F7" w:rsidRDefault="00921B1D"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szCs w:val="24"/>
              </w:rPr>
              <w:t>四</w:t>
            </w:r>
          </w:p>
        </w:tc>
        <w:tc>
          <w:tcPr>
            <w:tcW w:w="2835" w:type="dxa"/>
            <w:shd w:val="clear" w:color="auto" w:fill="auto"/>
            <w:vAlign w:val="center"/>
          </w:tcPr>
          <w:p w14:paraId="1860DB8C" w14:textId="64772706" w:rsidR="00921B1D" w:rsidRPr="003B13C1" w:rsidRDefault="00921B1D" w:rsidP="004627C8">
            <w:pPr>
              <w:widowControl/>
              <w:snapToGrid w:val="0"/>
              <w:ind w:rightChars="9" w:right="22"/>
              <w:jc w:val="both"/>
              <w:rPr>
                <w:rFonts w:ascii="Times New Roman" w:eastAsia="標楷體" w:hAnsi="Times New Roman" w:cs="Times New Roman"/>
                <w:sz w:val="26"/>
                <w:szCs w:val="26"/>
              </w:rPr>
            </w:pPr>
            <w:r w:rsidRPr="00467487">
              <w:rPr>
                <w:rFonts w:ascii="Times New Roman" w:eastAsia="標楷體" w:hAnsi="Times New Roman" w:cs="Times New Roman" w:hint="eastAsia"/>
                <w:szCs w:val="24"/>
              </w:rPr>
              <w:t>「糖尿病及初期慢性腎臟病照護整合方案」</w:t>
            </w:r>
          </w:p>
        </w:tc>
        <w:tc>
          <w:tcPr>
            <w:tcW w:w="11624" w:type="dxa"/>
            <w:shd w:val="clear" w:color="auto" w:fill="auto"/>
            <w:vAlign w:val="center"/>
          </w:tcPr>
          <w:p w14:paraId="56D34294" w14:textId="610C4B9C" w:rsidR="00921B1D" w:rsidRPr="00467487" w:rsidRDefault="00921B1D" w:rsidP="00810C5D">
            <w:pPr>
              <w:widowControl/>
              <w:snapToGrid w:val="0"/>
              <w:spacing w:line="280" w:lineRule="exact"/>
              <w:jc w:val="both"/>
              <w:rPr>
                <w:rFonts w:ascii="Times New Roman" w:eastAsia="標楷體" w:hAnsi="Times New Roman" w:cs="Times New Roman"/>
                <w:sz w:val="26"/>
                <w:szCs w:val="26"/>
              </w:rPr>
            </w:pPr>
            <w:r w:rsidRPr="00467487">
              <w:rPr>
                <w:rFonts w:ascii="Times New Roman" w:eastAsia="標楷體" w:hAnsi="Times New Roman" w:cs="Times New Roman" w:hint="eastAsia"/>
                <w:sz w:val="26"/>
                <w:szCs w:val="26"/>
              </w:rPr>
              <w:t>同院所同時由</w:t>
            </w:r>
            <w:r w:rsidRPr="00467487">
              <w:rPr>
                <w:rFonts w:ascii="Times New Roman" w:eastAsia="標楷體" w:hAnsi="Times New Roman" w:cs="Times New Roman"/>
                <w:sz w:val="26"/>
                <w:szCs w:val="26"/>
              </w:rPr>
              <w:t>DM</w:t>
            </w:r>
            <w:r w:rsidRPr="00467487">
              <w:rPr>
                <w:rFonts w:ascii="Times New Roman" w:eastAsia="標楷體" w:hAnsi="Times New Roman" w:cs="Times New Roman" w:hint="eastAsia"/>
                <w:sz w:val="26"/>
                <w:szCs w:val="26"/>
              </w:rPr>
              <w:t>及</w:t>
            </w:r>
            <w:r w:rsidRPr="00467487">
              <w:rPr>
                <w:rFonts w:ascii="Times New Roman" w:eastAsia="標楷體" w:hAnsi="Times New Roman" w:cs="Times New Roman"/>
                <w:sz w:val="26"/>
                <w:szCs w:val="26"/>
              </w:rPr>
              <w:t>CKD</w:t>
            </w:r>
            <w:r w:rsidRPr="00467487">
              <w:rPr>
                <w:rFonts w:ascii="Times New Roman" w:eastAsia="標楷體" w:hAnsi="Times New Roman" w:cs="Times New Roman" w:hint="eastAsia"/>
                <w:sz w:val="26"/>
                <w:szCs w:val="26"/>
              </w:rPr>
              <w:t>收案之病人，應以</w:t>
            </w:r>
            <w:r w:rsidRPr="00467487">
              <w:rPr>
                <w:rFonts w:ascii="Times New Roman" w:eastAsia="標楷體" w:hAnsi="Times New Roman" w:cs="Times New Roman"/>
                <w:sz w:val="26"/>
                <w:szCs w:val="26"/>
              </w:rPr>
              <w:t>DKD</w:t>
            </w:r>
            <w:r w:rsidRPr="00467487">
              <w:rPr>
                <w:rFonts w:ascii="Times New Roman" w:eastAsia="標楷體" w:hAnsi="Times New Roman" w:cs="Times New Roman" w:hint="eastAsia"/>
                <w:sz w:val="26"/>
                <w:szCs w:val="26"/>
              </w:rPr>
              <w:t>方案收案，使病人同一次就診中，完成</w:t>
            </w:r>
            <w:r w:rsidRPr="00467487">
              <w:rPr>
                <w:rFonts w:ascii="Times New Roman" w:eastAsia="標楷體" w:hAnsi="Times New Roman" w:cs="Times New Roman"/>
                <w:sz w:val="26"/>
                <w:szCs w:val="26"/>
              </w:rPr>
              <w:t>DKD</w:t>
            </w:r>
            <w:r>
              <w:rPr>
                <w:rFonts w:ascii="Times New Roman" w:eastAsia="標楷體" w:hAnsi="Times New Roman" w:cs="Times New Roman" w:hint="eastAsia"/>
                <w:sz w:val="26"/>
                <w:szCs w:val="26"/>
              </w:rPr>
              <w:t>追蹤管理照護。</w:t>
            </w:r>
            <w:r w:rsidRPr="00467487">
              <w:rPr>
                <w:rFonts w:ascii="Times New Roman" w:eastAsia="標楷體" w:hAnsi="Times New Roman" w:cs="Times New Roman" w:hint="eastAsia"/>
                <w:sz w:val="26"/>
                <w:szCs w:val="26"/>
              </w:rPr>
              <w:t>為利</w:t>
            </w:r>
            <w:r w:rsidRPr="00467487">
              <w:rPr>
                <w:rFonts w:ascii="Times New Roman" w:eastAsia="標楷體" w:hAnsi="Times New Roman" w:cs="Times New Roman"/>
                <w:sz w:val="26"/>
                <w:szCs w:val="26"/>
              </w:rPr>
              <w:t>B</w:t>
            </w:r>
            <w:r w:rsidRPr="00467487">
              <w:rPr>
                <w:rFonts w:ascii="Times New Roman" w:eastAsia="標楷體" w:hAnsi="Times New Roman" w:cs="Times New Roman" w:hint="eastAsia"/>
                <w:sz w:val="26"/>
                <w:szCs w:val="26"/>
              </w:rPr>
              <w:t>、</w:t>
            </w:r>
            <w:r w:rsidRPr="00467487">
              <w:rPr>
                <w:rFonts w:ascii="Times New Roman" w:eastAsia="標楷體" w:hAnsi="Times New Roman" w:cs="Times New Roman"/>
                <w:sz w:val="26"/>
                <w:szCs w:val="26"/>
              </w:rPr>
              <w:t>C</w:t>
            </w:r>
            <w:r w:rsidRPr="00467487">
              <w:rPr>
                <w:rFonts w:ascii="Times New Roman" w:eastAsia="標楷體" w:hAnsi="Times New Roman" w:cs="Times New Roman" w:hint="eastAsia"/>
                <w:sz w:val="26"/>
                <w:szCs w:val="26"/>
              </w:rPr>
              <w:t>肝炎防治，請針對</w:t>
            </w:r>
            <w:r w:rsidRPr="00467487">
              <w:rPr>
                <w:rFonts w:ascii="Times New Roman" w:eastAsia="標楷體" w:hAnsi="Times New Roman" w:cs="Times New Roman"/>
                <w:sz w:val="26"/>
                <w:szCs w:val="26"/>
              </w:rPr>
              <w:t>DKD</w:t>
            </w:r>
            <w:r w:rsidRPr="00467487">
              <w:rPr>
                <w:rFonts w:ascii="Times New Roman" w:eastAsia="標楷體" w:hAnsi="Times New Roman" w:cs="Times New Roman" w:hint="eastAsia"/>
                <w:sz w:val="26"/>
                <w:szCs w:val="26"/>
              </w:rPr>
              <w:t>方案收案對象中符合預防保健</w:t>
            </w:r>
            <w:r w:rsidRPr="00467487">
              <w:rPr>
                <w:rFonts w:ascii="Times New Roman" w:eastAsia="標楷體" w:hAnsi="Times New Roman" w:cs="Times New Roman"/>
                <w:sz w:val="26"/>
                <w:szCs w:val="26"/>
              </w:rPr>
              <w:t>B</w:t>
            </w:r>
            <w:r w:rsidRPr="00467487">
              <w:rPr>
                <w:rFonts w:ascii="Times New Roman" w:eastAsia="標楷體" w:hAnsi="Times New Roman" w:cs="Times New Roman" w:hint="eastAsia"/>
                <w:sz w:val="26"/>
                <w:szCs w:val="26"/>
              </w:rPr>
              <w:t>、</w:t>
            </w:r>
            <w:r w:rsidRPr="00467487">
              <w:rPr>
                <w:rFonts w:ascii="Times New Roman" w:eastAsia="標楷體" w:hAnsi="Times New Roman" w:cs="Times New Roman"/>
                <w:sz w:val="26"/>
                <w:szCs w:val="26"/>
              </w:rPr>
              <w:t>C</w:t>
            </w:r>
            <w:r w:rsidRPr="00467487">
              <w:rPr>
                <w:rFonts w:ascii="Times New Roman" w:eastAsia="標楷體" w:hAnsi="Times New Roman" w:cs="Times New Roman" w:hint="eastAsia"/>
                <w:sz w:val="26"/>
                <w:szCs w:val="26"/>
              </w:rPr>
              <w:t>肝炎篩檢補助資格者，主動聯繫並鼓勵執行篩檢；醫師、護理衛教及營養衛教之專業人員須經各地方政府糖尿病共同照護網認證合格，基層院所之護理衛教及營養衛教人員，得依相關法規規定以共聘或支援方式辦理。</w:t>
            </w:r>
          </w:p>
        </w:tc>
      </w:tr>
      <w:tr w:rsidR="00921B1D" w:rsidRPr="00AF7F9B" w14:paraId="1DD403A4" w14:textId="77777777" w:rsidTr="00921B1D">
        <w:trPr>
          <w:trHeight w:val="1009"/>
          <w:jc w:val="center"/>
        </w:trPr>
        <w:tc>
          <w:tcPr>
            <w:tcW w:w="817" w:type="dxa"/>
            <w:shd w:val="clear" w:color="auto" w:fill="auto"/>
            <w:vAlign w:val="center"/>
          </w:tcPr>
          <w:p w14:paraId="35D3A95F" w14:textId="4FD33420" w:rsidR="00921B1D" w:rsidRPr="008018F7" w:rsidRDefault="00921B1D" w:rsidP="00B078CE">
            <w:pPr>
              <w:spacing w:line="400" w:lineRule="exact"/>
              <w:jc w:val="both"/>
              <w:rPr>
                <w:rFonts w:ascii="Times New Roman" w:eastAsia="標楷體" w:hAnsi="Times New Roman" w:cs="Times New Roman"/>
                <w:szCs w:val="24"/>
              </w:rPr>
            </w:pPr>
            <w:r w:rsidRPr="00AF7F9B">
              <w:rPr>
                <w:rFonts w:ascii="Times New Roman" w:eastAsia="標楷體" w:hAnsi="Times New Roman" w:cs="Times New Roman"/>
                <w:szCs w:val="24"/>
              </w:rPr>
              <w:t>五</w:t>
            </w:r>
          </w:p>
        </w:tc>
        <w:tc>
          <w:tcPr>
            <w:tcW w:w="2835" w:type="dxa"/>
            <w:shd w:val="clear" w:color="auto" w:fill="auto"/>
            <w:vAlign w:val="center"/>
          </w:tcPr>
          <w:p w14:paraId="14156CE5" w14:textId="56CC1317" w:rsidR="00921B1D" w:rsidRPr="003B13C1" w:rsidRDefault="00921B1D" w:rsidP="00467487">
            <w:pPr>
              <w:widowControl/>
              <w:snapToGrid w:val="0"/>
              <w:ind w:rightChars="9" w:right="22"/>
              <w:jc w:val="both"/>
              <w:rPr>
                <w:rFonts w:ascii="Times New Roman" w:eastAsia="標楷體" w:hAnsi="Times New Roman" w:cs="Times New Roman"/>
                <w:sz w:val="26"/>
                <w:szCs w:val="26"/>
              </w:rPr>
            </w:pPr>
            <w:r w:rsidRPr="009F36CE">
              <w:rPr>
                <w:rFonts w:ascii="Times New Roman" w:eastAsia="標楷體" w:hAnsi="Times New Roman" w:cs="Times New Roman" w:hint="eastAsia"/>
                <w:szCs w:val="24"/>
              </w:rPr>
              <w:t>「病人因病情需要轉診至醫院」或</w:t>
            </w:r>
            <w:bookmarkStart w:id="0" w:name="_GoBack"/>
            <w:bookmarkEnd w:id="0"/>
            <w:r w:rsidRPr="009F36CE">
              <w:rPr>
                <w:rFonts w:ascii="Times New Roman" w:eastAsia="標楷體" w:hAnsi="Times New Roman" w:cs="Times New Roman" w:hint="eastAsia"/>
                <w:szCs w:val="24"/>
              </w:rPr>
              <w:t>「接受到醫院的轉診個案」</w:t>
            </w:r>
            <w:r w:rsidRPr="009F36CE">
              <w:rPr>
                <w:rFonts w:ascii="Times New Roman" w:eastAsia="標楷體" w:hAnsi="Times New Roman" w:cs="Times New Roman"/>
                <w:szCs w:val="24"/>
              </w:rPr>
              <w:t>請正確申報</w:t>
            </w:r>
          </w:p>
        </w:tc>
        <w:tc>
          <w:tcPr>
            <w:tcW w:w="11624" w:type="dxa"/>
            <w:shd w:val="clear" w:color="auto" w:fill="auto"/>
            <w:vAlign w:val="center"/>
          </w:tcPr>
          <w:p w14:paraId="0E96D6EF" w14:textId="77777777" w:rsidR="00921B1D" w:rsidRDefault="00921B1D" w:rsidP="009F36CE">
            <w:pPr>
              <w:widowControl/>
              <w:snapToGrid w:val="0"/>
              <w:spacing w:line="280" w:lineRule="exact"/>
              <w:jc w:val="both"/>
              <w:rPr>
                <w:rFonts w:ascii="Times New Roman" w:eastAsia="標楷體" w:hAnsi="Times New Roman" w:cs="Times New Roman" w:hint="eastAsia"/>
                <w:sz w:val="26"/>
                <w:szCs w:val="26"/>
              </w:rPr>
            </w:pPr>
            <w:r w:rsidRPr="00467487">
              <w:rPr>
                <w:rFonts w:ascii="Times New Roman" w:eastAsia="標楷體" w:hAnsi="Times New Roman" w:cs="Times New Roman" w:hint="eastAsia"/>
                <w:sz w:val="26"/>
                <w:szCs w:val="26"/>
              </w:rPr>
              <w:t>「病人因病情需要轉診至醫院」或「接受到醫院的轉診個案」，應依轉診支付標準正確申報，以避免影響醫療院所轉診醫令之申報與費用核付作業；轉診支付標準相關資料請逕至本署全球資訊網</w:t>
            </w:r>
            <w:r w:rsidRPr="00467487">
              <w:rPr>
                <w:rFonts w:ascii="Times New Roman" w:eastAsia="標楷體" w:hAnsi="Times New Roman" w:cs="Times New Roman" w:hint="eastAsia"/>
                <w:sz w:val="26"/>
                <w:szCs w:val="26"/>
              </w:rPr>
              <w:t>(</w:t>
            </w:r>
            <w:r w:rsidRPr="00467487">
              <w:rPr>
                <w:rFonts w:ascii="Times New Roman" w:eastAsia="標楷體" w:hAnsi="Times New Roman" w:cs="Times New Roman" w:hint="eastAsia"/>
                <w:sz w:val="26"/>
                <w:szCs w:val="26"/>
              </w:rPr>
              <w:t>首頁</w:t>
            </w:r>
            <w:r w:rsidRPr="00467487">
              <w:rPr>
                <w:rFonts w:ascii="Times New Roman" w:eastAsia="標楷體" w:hAnsi="Times New Roman" w:cs="Times New Roman"/>
                <w:sz w:val="26"/>
                <w:szCs w:val="26"/>
              </w:rPr>
              <w:t>/</w:t>
            </w:r>
            <w:r w:rsidRPr="00467487">
              <w:rPr>
                <w:rFonts w:ascii="Times New Roman" w:eastAsia="標楷體" w:hAnsi="Times New Roman" w:cs="Times New Roman" w:hint="eastAsia"/>
                <w:sz w:val="26"/>
                <w:szCs w:val="26"/>
              </w:rPr>
              <w:t>重要政策</w:t>
            </w:r>
            <w:r w:rsidRPr="00467487">
              <w:rPr>
                <w:rFonts w:ascii="Times New Roman" w:eastAsia="標楷體" w:hAnsi="Times New Roman" w:cs="Times New Roman" w:hint="eastAsia"/>
                <w:sz w:val="26"/>
                <w:szCs w:val="26"/>
              </w:rPr>
              <w:t>/</w:t>
            </w:r>
            <w:r w:rsidRPr="00467487">
              <w:rPr>
                <w:rFonts w:ascii="Times New Roman" w:eastAsia="標楷體" w:hAnsi="Times New Roman" w:cs="Times New Roman" w:hint="eastAsia"/>
                <w:sz w:val="26"/>
                <w:szCs w:val="26"/>
              </w:rPr>
              <w:t>厝邊好醫師社區好醫院</w:t>
            </w:r>
            <w:r w:rsidRPr="00467487">
              <w:rPr>
                <w:rFonts w:ascii="Times New Roman" w:eastAsia="標楷體" w:hAnsi="Times New Roman" w:cs="Times New Roman" w:hint="eastAsia"/>
                <w:sz w:val="26"/>
                <w:szCs w:val="26"/>
              </w:rPr>
              <w:t>)</w:t>
            </w:r>
            <w:r w:rsidRPr="00467487">
              <w:rPr>
                <w:rFonts w:ascii="Times New Roman" w:eastAsia="標楷體" w:hAnsi="Times New Roman" w:cs="Times New Roman" w:hint="eastAsia"/>
                <w:sz w:val="26"/>
                <w:szCs w:val="26"/>
              </w:rPr>
              <w:t>參考。</w:t>
            </w:r>
          </w:p>
          <w:p w14:paraId="14FF3654" w14:textId="5FF1D012" w:rsidR="00921B1D" w:rsidRPr="009F36CE" w:rsidRDefault="00921B1D" w:rsidP="00467487">
            <w:pPr>
              <w:snapToGrid w:val="0"/>
              <w:jc w:val="both"/>
              <w:rPr>
                <w:rFonts w:ascii="Times New Roman" w:eastAsia="標楷體" w:hAnsi="Times New Roman" w:cs="Times New Roman"/>
                <w:sz w:val="26"/>
                <w:szCs w:val="26"/>
              </w:rPr>
            </w:pPr>
          </w:p>
        </w:tc>
      </w:tr>
      <w:tr w:rsidR="00921B1D" w:rsidRPr="00AF7F9B" w14:paraId="4E95F697" w14:textId="77777777" w:rsidTr="00921B1D">
        <w:trPr>
          <w:trHeight w:val="703"/>
          <w:jc w:val="center"/>
        </w:trPr>
        <w:tc>
          <w:tcPr>
            <w:tcW w:w="817" w:type="dxa"/>
            <w:shd w:val="clear" w:color="auto" w:fill="auto"/>
            <w:vAlign w:val="center"/>
          </w:tcPr>
          <w:p w14:paraId="227C0A8D" w14:textId="74838A5C" w:rsidR="00921B1D" w:rsidRPr="008018F7" w:rsidRDefault="00921B1D"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六</w:t>
            </w:r>
          </w:p>
        </w:tc>
        <w:tc>
          <w:tcPr>
            <w:tcW w:w="2835" w:type="dxa"/>
            <w:shd w:val="clear" w:color="auto" w:fill="auto"/>
            <w:vAlign w:val="center"/>
          </w:tcPr>
          <w:p w14:paraId="0BAD9A38" w14:textId="6E053178" w:rsidR="00921B1D" w:rsidRPr="008018F7" w:rsidRDefault="00921B1D" w:rsidP="00A86E1A">
            <w:pPr>
              <w:widowControl/>
              <w:snapToGrid w:val="0"/>
              <w:ind w:rightChars="9" w:right="22"/>
              <w:jc w:val="both"/>
              <w:rPr>
                <w:rFonts w:ascii="Times New Roman" w:eastAsia="標楷體" w:hAnsi="Times New Roman" w:cs="Times New Roman"/>
                <w:kern w:val="0"/>
                <w:szCs w:val="24"/>
              </w:rPr>
            </w:pPr>
            <w:r w:rsidRPr="00AF7F9B">
              <w:rPr>
                <w:rFonts w:ascii="Times New Roman" w:eastAsia="標楷體" w:hAnsi="Times New Roman" w:cs="Times New Roman"/>
                <w:kern w:val="0"/>
                <w:szCs w:val="24"/>
              </w:rPr>
              <w:t>開放表別項目</w:t>
            </w:r>
          </w:p>
        </w:tc>
        <w:tc>
          <w:tcPr>
            <w:tcW w:w="11624" w:type="dxa"/>
            <w:shd w:val="clear" w:color="auto" w:fill="auto"/>
            <w:vAlign w:val="center"/>
          </w:tcPr>
          <w:p w14:paraId="1E020567" w14:textId="7E52677E" w:rsidR="00921B1D" w:rsidRPr="00AF7F9B" w:rsidRDefault="00921B1D" w:rsidP="002B1012">
            <w:pPr>
              <w:widowControl/>
              <w:snapToGrid w:val="0"/>
              <w:spacing w:line="280" w:lineRule="exact"/>
              <w:jc w:val="both"/>
              <w:rPr>
                <w:rFonts w:ascii="Times New Roman" w:eastAsia="標楷體" w:hAnsi="Times New Roman" w:cs="Times New Roman"/>
                <w:kern w:val="0"/>
                <w:szCs w:val="24"/>
              </w:rPr>
            </w:pPr>
            <w:r w:rsidRPr="009F36CE">
              <w:rPr>
                <w:rFonts w:ascii="Times New Roman" w:eastAsia="標楷體" w:hAnsi="Times New Roman" w:cs="Times New Roman" w:hint="eastAsia"/>
                <w:sz w:val="26"/>
                <w:szCs w:val="26"/>
              </w:rPr>
              <w:t>請鼓勵會員對有醫療需求之民眾提供適切的運用，並依各項診療項目訂定規範</w:t>
            </w:r>
            <w:r w:rsidRPr="009F36CE">
              <w:rPr>
                <w:rFonts w:ascii="Times New Roman" w:eastAsia="標楷體" w:hAnsi="Times New Roman" w:cs="Times New Roman" w:hint="eastAsia"/>
                <w:sz w:val="26"/>
                <w:szCs w:val="26"/>
              </w:rPr>
              <w:t>(</w:t>
            </w:r>
            <w:r w:rsidRPr="009F36CE">
              <w:rPr>
                <w:rFonts w:ascii="Times New Roman" w:eastAsia="標楷體" w:hAnsi="Times New Roman" w:cs="Times New Roman" w:hint="eastAsia"/>
                <w:sz w:val="26"/>
                <w:szCs w:val="26"/>
              </w:rPr>
              <w:t>如：限由專任醫師、適應症…</w:t>
            </w:r>
            <w:r w:rsidRPr="009F36CE">
              <w:rPr>
                <w:rFonts w:ascii="Times New Roman" w:eastAsia="標楷體" w:hAnsi="Times New Roman" w:cs="Times New Roman" w:hint="eastAsia"/>
                <w:sz w:val="26"/>
                <w:szCs w:val="26"/>
              </w:rPr>
              <w:t>)</w:t>
            </w:r>
            <w:r w:rsidRPr="009F36CE">
              <w:rPr>
                <w:rFonts w:ascii="Times New Roman" w:eastAsia="標楷體" w:hAnsi="Times New Roman" w:cs="Times New Roman" w:hint="eastAsia"/>
                <w:sz w:val="26"/>
                <w:szCs w:val="26"/>
              </w:rPr>
              <w:t>執行服務，提升西醫基層醫療服務之範疇。</w:t>
            </w:r>
          </w:p>
        </w:tc>
      </w:tr>
      <w:tr w:rsidR="00921B1D" w:rsidRPr="00AF7F9B" w14:paraId="403AEB2A" w14:textId="77777777" w:rsidTr="00921B1D">
        <w:trPr>
          <w:trHeight w:val="347"/>
          <w:jc w:val="center"/>
        </w:trPr>
        <w:tc>
          <w:tcPr>
            <w:tcW w:w="817" w:type="dxa"/>
            <w:shd w:val="clear" w:color="auto" w:fill="auto"/>
            <w:vAlign w:val="center"/>
          </w:tcPr>
          <w:p w14:paraId="739FD8F0" w14:textId="6A803601" w:rsidR="00921B1D" w:rsidRPr="008018F7" w:rsidRDefault="00921B1D"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七</w:t>
            </w:r>
          </w:p>
        </w:tc>
        <w:tc>
          <w:tcPr>
            <w:tcW w:w="2835" w:type="dxa"/>
            <w:shd w:val="clear" w:color="auto" w:fill="auto"/>
            <w:vAlign w:val="center"/>
          </w:tcPr>
          <w:p w14:paraId="565254A4" w14:textId="5B67206B" w:rsidR="00921B1D" w:rsidRPr="0066725A" w:rsidRDefault="00921B1D" w:rsidP="009F36CE">
            <w:pPr>
              <w:widowControl/>
              <w:snapToGrid w:val="0"/>
              <w:ind w:rightChars="9" w:right="22"/>
              <w:jc w:val="both"/>
              <w:rPr>
                <w:rFonts w:ascii="Times New Roman" w:eastAsia="標楷體" w:hAnsi="Times New Roman" w:cs="Times New Roman"/>
                <w:kern w:val="0"/>
                <w:szCs w:val="24"/>
              </w:rPr>
            </w:pPr>
            <w:r>
              <w:rPr>
                <w:rFonts w:ascii="Times New Roman" w:eastAsia="標楷體" w:hAnsi="Times New Roman" w:cs="Times New Roman" w:hint="eastAsia"/>
                <w:szCs w:val="24"/>
              </w:rPr>
              <w:t>服務時段登錄</w:t>
            </w:r>
            <w:r w:rsidRPr="00F725CE">
              <w:rPr>
                <w:rFonts w:ascii="Times New Roman" w:eastAsia="標楷體" w:hAnsi="Times New Roman" w:cs="Times New Roman" w:hint="eastAsia"/>
                <w:szCs w:val="24"/>
              </w:rPr>
              <w:t>簡化</w:t>
            </w:r>
            <w:r>
              <w:rPr>
                <w:rFonts w:ascii="Times New Roman" w:eastAsia="標楷體" w:hAnsi="Times New Roman" w:cs="Times New Roman" w:hint="eastAsia"/>
                <w:szCs w:val="24"/>
              </w:rPr>
              <w:t>功能</w:t>
            </w:r>
          </w:p>
        </w:tc>
        <w:tc>
          <w:tcPr>
            <w:tcW w:w="11624" w:type="dxa"/>
            <w:shd w:val="clear" w:color="auto" w:fill="auto"/>
            <w:vAlign w:val="center"/>
          </w:tcPr>
          <w:p w14:paraId="2F85EF52" w14:textId="1441F9A8" w:rsidR="00921B1D" w:rsidRPr="0066725A" w:rsidRDefault="00921B1D" w:rsidP="001E27EF">
            <w:pPr>
              <w:widowControl/>
              <w:snapToGrid w:val="0"/>
              <w:spacing w:line="280" w:lineRule="exact"/>
              <w:jc w:val="both"/>
              <w:rPr>
                <w:rFonts w:ascii="Times New Roman" w:eastAsia="標楷體" w:hAnsi="Times New Roman" w:cs="Times New Roman"/>
                <w:kern w:val="0"/>
                <w:szCs w:val="24"/>
              </w:rPr>
            </w:pPr>
            <w:r w:rsidRPr="000C0194">
              <w:rPr>
                <w:rFonts w:ascii="Times New Roman" w:eastAsia="標楷體" w:hAnsi="Times New Roman" w:cs="Times New Roman" w:hint="eastAsia"/>
                <w:sz w:val="26"/>
                <w:szCs w:val="26"/>
              </w:rPr>
              <w:t>112</w:t>
            </w:r>
            <w:r w:rsidRPr="000C0194">
              <w:rPr>
                <w:rFonts w:ascii="Times New Roman" w:eastAsia="標楷體" w:hAnsi="Times New Roman" w:cs="Times New Roman" w:hint="eastAsia"/>
                <w:sz w:val="26"/>
                <w:szCs w:val="26"/>
              </w:rPr>
              <w:t>年起長天期服務時段登錄已簡化，可隨時完成全年連假登錄作業。</w:t>
            </w:r>
          </w:p>
        </w:tc>
      </w:tr>
    </w:tbl>
    <w:p w14:paraId="60F31065" w14:textId="2BA35C7B" w:rsidR="00991D86" w:rsidRPr="00EC13E4" w:rsidRDefault="00991D86"/>
    <w:sectPr w:rsidR="00991D86" w:rsidRPr="00EC13E4" w:rsidSect="0095246A">
      <w:footerReference w:type="default" r:id="rId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155BC" w14:textId="77777777" w:rsidR="00A17667" w:rsidRDefault="00A17667" w:rsidP="00E85000">
      <w:r>
        <w:separator/>
      </w:r>
    </w:p>
  </w:endnote>
  <w:endnote w:type="continuationSeparator" w:id="0">
    <w:p w14:paraId="73DF7068" w14:textId="77777777" w:rsidR="00A17667" w:rsidRDefault="00A17667" w:rsidP="00E8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691173"/>
      <w:docPartObj>
        <w:docPartGallery w:val="Page Numbers (Bottom of Page)"/>
        <w:docPartUnique/>
      </w:docPartObj>
    </w:sdtPr>
    <w:sdtEndPr/>
    <w:sdtContent>
      <w:p w14:paraId="1E2520D3" w14:textId="112A3A35" w:rsidR="00E85000" w:rsidRDefault="00E85000" w:rsidP="002370D5">
        <w:pPr>
          <w:pStyle w:val="a8"/>
          <w:jc w:val="center"/>
        </w:pPr>
        <w:r>
          <w:fldChar w:fldCharType="begin"/>
        </w:r>
        <w:r>
          <w:instrText>PAGE   \* MERGEFORMAT</w:instrText>
        </w:r>
        <w:r>
          <w:fldChar w:fldCharType="separate"/>
        </w:r>
        <w:r w:rsidR="00A17667" w:rsidRPr="00A17667">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13C8B" w14:textId="77777777" w:rsidR="00A17667" w:rsidRDefault="00A17667" w:rsidP="00E85000">
      <w:r>
        <w:separator/>
      </w:r>
    </w:p>
  </w:footnote>
  <w:footnote w:type="continuationSeparator" w:id="0">
    <w:p w14:paraId="4F53D735" w14:textId="77777777" w:rsidR="00A17667" w:rsidRDefault="00A17667" w:rsidP="00E85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08C"/>
    <w:multiLevelType w:val="hybridMultilevel"/>
    <w:tmpl w:val="F5C63A8A"/>
    <w:lvl w:ilvl="0" w:tplc="BDC60D04">
      <w:start w:val="1"/>
      <w:numFmt w:val="taiwaneseCountingThousand"/>
      <w:lvlText w:val="(%1)"/>
      <w:lvlJc w:val="left"/>
      <w:pPr>
        <w:ind w:left="1473" w:hanging="48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nsid w:val="02C15364"/>
    <w:multiLevelType w:val="hybridMultilevel"/>
    <w:tmpl w:val="E318AA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804233"/>
    <w:multiLevelType w:val="hybridMultilevel"/>
    <w:tmpl w:val="2C984A20"/>
    <w:lvl w:ilvl="0" w:tplc="7C7E7B14">
      <w:start w:val="1"/>
      <w:numFmt w:val="taiwaneseCountingThousand"/>
      <w:lvlText w:val="(%1)"/>
      <w:lvlJc w:val="left"/>
      <w:pPr>
        <w:ind w:left="705" w:hanging="4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0FCA75FD"/>
    <w:multiLevelType w:val="hybridMultilevel"/>
    <w:tmpl w:val="66BC9042"/>
    <w:lvl w:ilvl="0" w:tplc="7C7E7B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2C26DC"/>
    <w:multiLevelType w:val="hybridMultilevel"/>
    <w:tmpl w:val="C0BEBD82"/>
    <w:lvl w:ilvl="0" w:tplc="A3DCD9B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246ED0"/>
    <w:multiLevelType w:val="hybridMultilevel"/>
    <w:tmpl w:val="B47A34A4"/>
    <w:lvl w:ilvl="0" w:tplc="04090015">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D97F34"/>
    <w:multiLevelType w:val="hybridMultilevel"/>
    <w:tmpl w:val="99F258BC"/>
    <w:lvl w:ilvl="0" w:tplc="7C7E7B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0410AC"/>
    <w:multiLevelType w:val="hybridMultilevel"/>
    <w:tmpl w:val="F582418E"/>
    <w:lvl w:ilvl="0" w:tplc="08E81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7756865"/>
    <w:multiLevelType w:val="hybridMultilevel"/>
    <w:tmpl w:val="5E986344"/>
    <w:lvl w:ilvl="0" w:tplc="D86C3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B342B5D"/>
    <w:multiLevelType w:val="hybridMultilevel"/>
    <w:tmpl w:val="DD96883A"/>
    <w:lvl w:ilvl="0" w:tplc="04090015">
      <w:start w:val="1"/>
      <w:numFmt w:val="taiwaneseCountingThousand"/>
      <w:lvlText w:val="%1、"/>
      <w:lvlJc w:val="left"/>
      <w:pPr>
        <w:ind w:left="480" w:hanging="480"/>
      </w:pPr>
    </w:lvl>
    <w:lvl w:ilvl="1" w:tplc="535EB4B4">
      <w:start w:val="1"/>
      <w:numFmt w:val="taiwaneseCountingThousand"/>
      <w:lvlText w:val="(%2)"/>
      <w:lvlJc w:val="left"/>
      <w:pPr>
        <w:ind w:left="1080" w:hanging="600"/>
      </w:pPr>
      <w:rPr>
        <w:rFonts w:hint="default"/>
      </w:rPr>
    </w:lvl>
    <w:lvl w:ilvl="2" w:tplc="A0C087C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021095"/>
    <w:multiLevelType w:val="hybridMultilevel"/>
    <w:tmpl w:val="768438C0"/>
    <w:lvl w:ilvl="0" w:tplc="C76282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28E3D49"/>
    <w:multiLevelType w:val="hybridMultilevel"/>
    <w:tmpl w:val="D2466372"/>
    <w:lvl w:ilvl="0" w:tplc="5CE8C3A8">
      <w:start w:val="1"/>
      <w:numFmt w:val="decimal"/>
      <w:lvlText w:val="%1."/>
      <w:lvlJc w:val="righ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6104FDE"/>
    <w:multiLevelType w:val="hybridMultilevel"/>
    <w:tmpl w:val="5E986344"/>
    <w:lvl w:ilvl="0" w:tplc="D86C3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6D25EA6"/>
    <w:multiLevelType w:val="hybridMultilevel"/>
    <w:tmpl w:val="80A0E21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15B742C"/>
    <w:multiLevelType w:val="hybridMultilevel"/>
    <w:tmpl w:val="24E827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B786DFC"/>
    <w:multiLevelType w:val="hybridMultilevel"/>
    <w:tmpl w:val="5E986344"/>
    <w:lvl w:ilvl="0" w:tplc="D86C3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9A13700"/>
    <w:multiLevelType w:val="hybridMultilevel"/>
    <w:tmpl w:val="5BBCB0DE"/>
    <w:lvl w:ilvl="0" w:tplc="565C64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BC30529"/>
    <w:multiLevelType w:val="hybridMultilevel"/>
    <w:tmpl w:val="20A84D1A"/>
    <w:lvl w:ilvl="0" w:tplc="5CE8C3A8">
      <w:start w:val="1"/>
      <w:numFmt w:val="decimal"/>
      <w:lvlText w:val="%1."/>
      <w:lvlJc w:val="right"/>
      <w:pPr>
        <w:ind w:left="481" w:hanging="480"/>
      </w:pPr>
      <w:rPr>
        <w:rFonts w:hint="eastAsia"/>
        <w:color w:val="auto"/>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8">
    <w:nsid w:val="5BDF3F6E"/>
    <w:multiLevelType w:val="hybridMultilevel"/>
    <w:tmpl w:val="2D569C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1140A51"/>
    <w:multiLevelType w:val="hybridMultilevel"/>
    <w:tmpl w:val="E3A26E0C"/>
    <w:lvl w:ilvl="0" w:tplc="A2A4DCC8">
      <w:start w:val="1"/>
      <w:numFmt w:val="taiwaneseCountingThousand"/>
      <w:lvlText w:val="（%1）"/>
      <w:lvlJc w:val="left"/>
      <w:pPr>
        <w:ind w:left="720" w:hanging="480"/>
      </w:pPr>
      <w:rPr>
        <w:rFonts w:hint="eastAsia"/>
      </w:rPr>
    </w:lvl>
    <w:lvl w:ilvl="1" w:tplc="37C60046">
      <w:start w:val="1"/>
      <w:numFmt w:val="taiwaneseCountingThousand"/>
      <w:lvlText w:val="%2、"/>
      <w:lvlJc w:val="left"/>
      <w:pPr>
        <w:ind w:left="1440" w:hanging="72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61332EB5"/>
    <w:multiLevelType w:val="hybridMultilevel"/>
    <w:tmpl w:val="DED05B16"/>
    <w:lvl w:ilvl="0" w:tplc="04090015">
      <w:start w:val="1"/>
      <w:numFmt w:val="taiwaneseCountingThousand"/>
      <w:lvlText w:val="%1、"/>
      <w:lvlJc w:val="left"/>
      <w:pPr>
        <w:ind w:left="480" w:hanging="480"/>
      </w:pPr>
    </w:lvl>
    <w:lvl w:ilvl="1" w:tplc="D62AA954">
      <w:start w:val="1"/>
      <w:numFmt w:val="taiwaneseCountingThousand"/>
      <w:lvlText w:val="(%2)"/>
      <w:lvlJc w:val="left"/>
      <w:pPr>
        <w:ind w:left="1095" w:hanging="61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37F3E98"/>
    <w:multiLevelType w:val="hybridMultilevel"/>
    <w:tmpl w:val="726C225E"/>
    <w:lvl w:ilvl="0" w:tplc="3C32C2D8">
      <w:start w:val="1"/>
      <w:numFmt w:val="taiwaneseCountingThousand"/>
      <w:lvlText w:val="(%1)"/>
      <w:lvlJc w:val="left"/>
      <w:pPr>
        <w:ind w:left="3201" w:hanging="648"/>
      </w:pPr>
      <w:rPr>
        <w:rFonts w:hint="default"/>
      </w:rPr>
    </w:lvl>
    <w:lvl w:ilvl="1" w:tplc="04090019">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2">
    <w:nsid w:val="64EA3ED2"/>
    <w:multiLevelType w:val="hybridMultilevel"/>
    <w:tmpl w:val="48F41994"/>
    <w:lvl w:ilvl="0" w:tplc="A2A4DCC8">
      <w:start w:val="1"/>
      <w:numFmt w:val="taiwaneseCountingThousand"/>
      <w:lvlText w:val="（%1）"/>
      <w:lvlJc w:val="left"/>
      <w:pPr>
        <w:ind w:left="720" w:hanging="480"/>
      </w:pPr>
      <w:rPr>
        <w:rFonts w:hint="eastAsia"/>
      </w:rPr>
    </w:lvl>
    <w:lvl w:ilvl="1" w:tplc="96EE9C42">
      <w:start w:val="1"/>
      <w:numFmt w:val="taiwaneseCountingThousand"/>
      <w:lvlText w:val="（%2）"/>
      <w:lvlJc w:val="left"/>
      <w:pPr>
        <w:ind w:left="1200" w:hanging="480"/>
      </w:pPr>
      <w:rPr>
        <w:rFonts w:hint="eastAsia"/>
        <w:lang w:val="en-US"/>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65C618DD"/>
    <w:multiLevelType w:val="hybridMultilevel"/>
    <w:tmpl w:val="BAFC0556"/>
    <w:lvl w:ilvl="0" w:tplc="8922480E">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6A1440E1"/>
    <w:multiLevelType w:val="hybridMultilevel"/>
    <w:tmpl w:val="CA4A3402"/>
    <w:lvl w:ilvl="0" w:tplc="04090015">
      <w:start w:val="1"/>
      <w:numFmt w:val="taiwaneseCountingThousand"/>
      <w:lvlText w:val="%1、"/>
      <w:lvlJc w:val="left"/>
      <w:pPr>
        <w:ind w:left="480" w:hanging="480"/>
      </w:pPr>
    </w:lvl>
    <w:lvl w:ilvl="1" w:tplc="A2A4DCC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B7F459A"/>
    <w:multiLevelType w:val="hybridMultilevel"/>
    <w:tmpl w:val="92507A80"/>
    <w:lvl w:ilvl="0" w:tplc="8A788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9"/>
  </w:num>
  <w:num w:numId="3">
    <w:abstractNumId w:val="2"/>
  </w:num>
  <w:num w:numId="4">
    <w:abstractNumId w:val="18"/>
  </w:num>
  <w:num w:numId="5">
    <w:abstractNumId w:val="9"/>
  </w:num>
  <w:num w:numId="6">
    <w:abstractNumId w:val="13"/>
  </w:num>
  <w:num w:numId="7">
    <w:abstractNumId w:val="5"/>
  </w:num>
  <w:num w:numId="8">
    <w:abstractNumId w:val="20"/>
  </w:num>
  <w:num w:numId="9">
    <w:abstractNumId w:val="22"/>
  </w:num>
  <w:num w:numId="10">
    <w:abstractNumId w:val="1"/>
  </w:num>
  <w:num w:numId="11">
    <w:abstractNumId w:val="16"/>
  </w:num>
  <w:num w:numId="12">
    <w:abstractNumId w:val="25"/>
  </w:num>
  <w:num w:numId="13">
    <w:abstractNumId w:val="23"/>
  </w:num>
  <w:num w:numId="14">
    <w:abstractNumId w:val="7"/>
  </w:num>
  <w:num w:numId="15">
    <w:abstractNumId w:val="24"/>
  </w:num>
  <w:num w:numId="16">
    <w:abstractNumId w:val="8"/>
  </w:num>
  <w:num w:numId="17">
    <w:abstractNumId w:val="15"/>
  </w:num>
  <w:num w:numId="18">
    <w:abstractNumId w:val="0"/>
  </w:num>
  <w:num w:numId="19">
    <w:abstractNumId w:val="10"/>
  </w:num>
  <w:num w:numId="20">
    <w:abstractNumId w:val="4"/>
  </w:num>
  <w:num w:numId="21">
    <w:abstractNumId w:val="12"/>
  </w:num>
  <w:num w:numId="22">
    <w:abstractNumId w:val="3"/>
  </w:num>
  <w:num w:numId="23">
    <w:abstractNumId w:val="6"/>
  </w:num>
  <w:num w:numId="24">
    <w:abstractNumId w:val="21"/>
  </w:num>
  <w:num w:numId="25">
    <w:abstractNumId w:val="1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DBF"/>
    <w:rsid w:val="00025303"/>
    <w:rsid w:val="000368A1"/>
    <w:rsid w:val="00054E84"/>
    <w:rsid w:val="00056116"/>
    <w:rsid w:val="00056C54"/>
    <w:rsid w:val="0006187E"/>
    <w:rsid w:val="000724F7"/>
    <w:rsid w:val="000912F7"/>
    <w:rsid w:val="000A036E"/>
    <w:rsid w:val="000A18BD"/>
    <w:rsid w:val="000B6559"/>
    <w:rsid w:val="000C1B33"/>
    <w:rsid w:val="000C4110"/>
    <w:rsid w:val="000C6A51"/>
    <w:rsid w:val="000D3067"/>
    <w:rsid w:val="000E1E39"/>
    <w:rsid w:val="000F0E80"/>
    <w:rsid w:val="00100B77"/>
    <w:rsid w:val="001020E9"/>
    <w:rsid w:val="00106557"/>
    <w:rsid w:val="00106D01"/>
    <w:rsid w:val="00114A48"/>
    <w:rsid w:val="00120D52"/>
    <w:rsid w:val="0013735F"/>
    <w:rsid w:val="00143D4D"/>
    <w:rsid w:val="0014429E"/>
    <w:rsid w:val="001528E8"/>
    <w:rsid w:val="0015302E"/>
    <w:rsid w:val="001561E4"/>
    <w:rsid w:val="0016543C"/>
    <w:rsid w:val="001665A8"/>
    <w:rsid w:val="001903FD"/>
    <w:rsid w:val="00193E30"/>
    <w:rsid w:val="001B1D83"/>
    <w:rsid w:val="001C1241"/>
    <w:rsid w:val="001C4BAA"/>
    <w:rsid w:val="001C766D"/>
    <w:rsid w:val="001D2997"/>
    <w:rsid w:val="001E27EF"/>
    <w:rsid w:val="001E68BB"/>
    <w:rsid w:val="001F719F"/>
    <w:rsid w:val="00203E86"/>
    <w:rsid w:val="00205923"/>
    <w:rsid w:val="00211FC7"/>
    <w:rsid w:val="00225998"/>
    <w:rsid w:val="00234174"/>
    <w:rsid w:val="002370D5"/>
    <w:rsid w:val="00260841"/>
    <w:rsid w:val="00262EEB"/>
    <w:rsid w:val="0026486B"/>
    <w:rsid w:val="002709CC"/>
    <w:rsid w:val="00281C84"/>
    <w:rsid w:val="00290CA3"/>
    <w:rsid w:val="002933FF"/>
    <w:rsid w:val="00294469"/>
    <w:rsid w:val="00297BA8"/>
    <w:rsid w:val="002A28A6"/>
    <w:rsid w:val="002B1012"/>
    <w:rsid w:val="002B4DE9"/>
    <w:rsid w:val="002B7F74"/>
    <w:rsid w:val="002C14FF"/>
    <w:rsid w:val="002C26CD"/>
    <w:rsid w:val="002C36EB"/>
    <w:rsid w:val="002C6B1F"/>
    <w:rsid w:val="002D367B"/>
    <w:rsid w:val="0030426A"/>
    <w:rsid w:val="00307F62"/>
    <w:rsid w:val="0031504D"/>
    <w:rsid w:val="00321829"/>
    <w:rsid w:val="00326628"/>
    <w:rsid w:val="003311A0"/>
    <w:rsid w:val="003323FD"/>
    <w:rsid w:val="00335F9A"/>
    <w:rsid w:val="00340078"/>
    <w:rsid w:val="003429B9"/>
    <w:rsid w:val="00351169"/>
    <w:rsid w:val="00371C8B"/>
    <w:rsid w:val="00380168"/>
    <w:rsid w:val="00393A73"/>
    <w:rsid w:val="003A14A4"/>
    <w:rsid w:val="003A1847"/>
    <w:rsid w:val="003B13C1"/>
    <w:rsid w:val="003C22CC"/>
    <w:rsid w:val="003C7685"/>
    <w:rsid w:val="003C7CDB"/>
    <w:rsid w:val="003D6AAF"/>
    <w:rsid w:val="00410E52"/>
    <w:rsid w:val="00423AF7"/>
    <w:rsid w:val="00433DB5"/>
    <w:rsid w:val="00452B3E"/>
    <w:rsid w:val="004627C8"/>
    <w:rsid w:val="00467487"/>
    <w:rsid w:val="00471A65"/>
    <w:rsid w:val="00481E74"/>
    <w:rsid w:val="004852AE"/>
    <w:rsid w:val="00485A2F"/>
    <w:rsid w:val="004B745A"/>
    <w:rsid w:val="004B7D4B"/>
    <w:rsid w:val="004C13AF"/>
    <w:rsid w:val="004C1DDD"/>
    <w:rsid w:val="004C2A69"/>
    <w:rsid w:val="004C4D38"/>
    <w:rsid w:val="004C6879"/>
    <w:rsid w:val="004E73E3"/>
    <w:rsid w:val="004E7B6A"/>
    <w:rsid w:val="004F160B"/>
    <w:rsid w:val="004F5DC0"/>
    <w:rsid w:val="0051404C"/>
    <w:rsid w:val="00516A3C"/>
    <w:rsid w:val="00525196"/>
    <w:rsid w:val="00534F05"/>
    <w:rsid w:val="0054549C"/>
    <w:rsid w:val="005510E8"/>
    <w:rsid w:val="0056128E"/>
    <w:rsid w:val="00582074"/>
    <w:rsid w:val="005A11E2"/>
    <w:rsid w:val="005B32EE"/>
    <w:rsid w:val="005B5623"/>
    <w:rsid w:val="005C095A"/>
    <w:rsid w:val="005D2648"/>
    <w:rsid w:val="005D7B3D"/>
    <w:rsid w:val="00622661"/>
    <w:rsid w:val="0062512D"/>
    <w:rsid w:val="006278D4"/>
    <w:rsid w:val="00633122"/>
    <w:rsid w:val="00635258"/>
    <w:rsid w:val="006412AD"/>
    <w:rsid w:val="00650E1E"/>
    <w:rsid w:val="0066016E"/>
    <w:rsid w:val="006663C5"/>
    <w:rsid w:val="0066725A"/>
    <w:rsid w:val="00692BDD"/>
    <w:rsid w:val="00694852"/>
    <w:rsid w:val="006B4AE3"/>
    <w:rsid w:val="006C0FB7"/>
    <w:rsid w:val="006C19FB"/>
    <w:rsid w:val="006C5F43"/>
    <w:rsid w:val="006D08E5"/>
    <w:rsid w:val="006E5750"/>
    <w:rsid w:val="00702CDD"/>
    <w:rsid w:val="00706108"/>
    <w:rsid w:val="00743FE1"/>
    <w:rsid w:val="00752BFA"/>
    <w:rsid w:val="00774EEB"/>
    <w:rsid w:val="007814B9"/>
    <w:rsid w:val="007871A1"/>
    <w:rsid w:val="007A32D6"/>
    <w:rsid w:val="007A38D5"/>
    <w:rsid w:val="007B01AB"/>
    <w:rsid w:val="007C3FBA"/>
    <w:rsid w:val="007C7570"/>
    <w:rsid w:val="007D507D"/>
    <w:rsid w:val="007F1085"/>
    <w:rsid w:val="007F4691"/>
    <w:rsid w:val="007F64F2"/>
    <w:rsid w:val="008018F7"/>
    <w:rsid w:val="00803159"/>
    <w:rsid w:val="008070EF"/>
    <w:rsid w:val="00810C5D"/>
    <w:rsid w:val="00813173"/>
    <w:rsid w:val="00814C3D"/>
    <w:rsid w:val="00830408"/>
    <w:rsid w:val="00832373"/>
    <w:rsid w:val="00840B57"/>
    <w:rsid w:val="00846298"/>
    <w:rsid w:val="00847908"/>
    <w:rsid w:val="00873E93"/>
    <w:rsid w:val="00877DAB"/>
    <w:rsid w:val="00895E71"/>
    <w:rsid w:val="008A03FA"/>
    <w:rsid w:val="008A0720"/>
    <w:rsid w:val="008A3211"/>
    <w:rsid w:val="008A5342"/>
    <w:rsid w:val="008D1B34"/>
    <w:rsid w:val="008E59CC"/>
    <w:rsid w:val="008E5F3D"/>
    <w:rsid w:val="008F3DC2"/>
    <w:rsid w:val="00921B1D"/>
    <w:rsid w:val="009227C4"/>
    <w:rsid w:val="00935DCB"/>
    <w:rsid w:val="0094451C"/>
    <w:rsid w:val="0095246A"/>
    <w:rsid w:val="00953E91"/>
    <w:rsid w:val="00956B80"/>
    <w:rsid w:val="009865CA"/>
    <w:rsid w:val="00991408"/>
    <w:rsid w:val="00991D86"/>
    <w:rsid w:val="0099492C"/>
    <w:rsid w:val="009A2C58"/>
    <w:rsid w:val="009B28E8"/>
    <w:rsid w:val="009B365A"/>
    <w:rsid w:val="009C18A5"/>
    <w:rsid w:val="009C40E1"/>
    <w:rsid w:val="009D5F29"/>
    <w:rsid w:val="009D68D6"/>
    <w:rsid w:val="009E6876"/>
    <w:rsid w:val="009F36CE"/>
    <w:rsid w:val="00A01E2F"/>
    <w:rsid w:val="00A03939"/>
    <w:rsid w:val="00A03A37"/>
    <w:rsid w:val="00A14964"/>
    <w:rsid w:val="00A17667"/>
    <w:rsid w:val="00A22125"/>
    <w:rsid w:val="00A22446"/>
    <w:rsid w:val="00A2268A"/>
    <w:rsid w:val="00A271AF"/>
    <w:rsid w:val="00A655D0"/>
    <w:rsid w:val="00A70E50"/>
    <w:rsid w:val="00A80D51"/>
    <w:rsid w:val="00A82D5A"/>
    <w:rsid w:val="00A865A5"/>
    <w:rsid w:val="00A86E1A"/>
    <w:rsid w:val="00A91186"/>
    <w:rsid w:val="00A954D1"/>
    <w:rsid w:val="00A97316"/>
    <w:rsid w:val="00AA3EB8"/>
    <w:rsid w:val="00AD0F88"/>
    <w:rsid w:val="00AD140B"/>
    <w:rsid w:val="00AD427B"/>
    <w:rsid w:val="00AF7503"/>
    <w:rsid w:val="00AF7F9B"/>
    <w:rsid w:val="00B00666"/>
    <w:rsid w:val="00B078CE"/>
    <w:rsid w:val="00B21554"/>
    <w:rsid w:val="00B271D5"/>
    <w:rsid w:val="00B3137C"/>
    <w:rsid w:val="00B32B74"/>
    <w:rsid w:val="00B35386"/>
    <w:rsid w:val="00B360F0"/>
    <w:rsid w:val="00B80A7D"/>
    <w:rsid w:val="00B831DD"/>
    <w:rsid w:val="00B84151"/>
    <w:rsid w:val="00B91DAF"/>
    <w:rsid w:val="00BA7959"/>
    <w:rsid w:val="00BB0A33"/>
    <w:rsid w:val="00BB0B8A"/>
    <w:rsid w:val="00BB1C45"/>
    <w:rsid w:val="00BB4A71"/>
    <w:rsid w:val="00BD7867"/>
    <w:rsid w:val="00BE003C"/>
    <w:rsid w:val="00BE5C65"/>
    <w:rsid w:val="00BE5CAB"/>
    <w:rsid w:val="00BF0D3D"/>
    <w:rsid w:val="00BF50DD"/>
    <w:rsid w:val="00C008DB"/>
    <w:rsid w:val="00C1062E"/>
    <w:rsid w:val="00C21865"/>
    <w:rsid w:val="00C22051"/>
    <w:rsid w:val="00C25725"/>
    <w:rsid w:val="00C45593"/>
    <w:rsid w:val="00C5388F"/>
    <w:rsid w:val="00C71DBF"/>
    <w:rsid w:val="00CB5CC1"/>
    <w:rsid w:val="00CC1A92"/>
    <w:rsid w:val="00CC2837"/>
    <w:rsid w:val="00CD57D4"/>
    <w:rsid w:val="00CE202C"/>
    <w:rsid w:val="00CE2352"/>
    <w:rsid w:val="00CE671D"/>
    <w:rsid w:val="00CE7835"/>
    <w:rsid w:val="00CF5A31"/>
    <w:rsid w:val="00D0388D"/>
    <w:rsid w:val="00D23AB5"/>
    <w:rsid w:val="00D273FA"/>
    <w:rsid w:val="00D27EF5"/>
    <w:rsid w:val="00D3188A"/>
    <w:rsid w:val="00D353C8"/>
    <w:rsid w:val="00D44782"/>
    <w:rsid w:val="00D45B17"/>
    <w:rsid w:val="00D664D8"/>
    <w:rsid w:val="00D804F8"/>
    <w:rsid w:val="00D81584"/>
    <w:rsid w:val="00D921E3"/>
    <w:rsid w:val="00D92EAC"/>
    <w:rsid w:val="00DB23CA"/>
    <w:rsid w:val="00DD1E38"/>
    <w:rsid w:val="00DE2C5B"/>
    <w:rsid w:val="00DF034C"/>
    <w:rsid w:val="00DF2894"/>
    <w:rsid w:val="00E02095"/>
    <w:rsid w:val="00E053FE"/>
    <w:rsid w:val="00E11EA1"/>
    <w:rsid w:val="00E16CF6"/>
    <w:rsid w:val="00E20C48"/>
    <w:rsid w:val="00E22C5C"/>
    <w:rsid w:val="00E31857"/>
    <w:rsid w:val="00E33EE0"/>
    <w:rsid w:val="00E51FED"/>
    <w:rsid w:val="00E662E9"/>
    <w:rsid w:val="00E70A7B"/>
    <w:rsid w:val="00E7278C"/>
    <w:rsid w:val="00E7483C"/>
    <w:rsid w:val="00E74DD2"/>
    <w:rsid w:val="00E82CCB"/>
    <w:rsid w:val="00E85000"/>
    <w:rsid w:val="00E9105D"/>
    <w:rsid w:val="00E946BC"/>
    <w:rsid w:val="00EB05D0"/>
    <w:rsid w:val="00EB1308"/>
    <w:rsid w:val="00EC13E4"/>
    <w:rsid w:val="00EC586C"/>
    <w:rsid w:val="00EE71B7"/>
    <w:rsid w:val="00F007B6"/>
    <w:rsid w:val="00F030C7"/>
    <w:rsid w:val="00F04D95"/>
    <w:rsid w:val="00F11D82"/>
    <w:rsid w:val="00F223E3"/>
    <w:rsid w:val="00F4109B"/>
    <w:rsid w:val="00F42453"/>
    <w:rsid w:val="00F4590B"/>
    <w:rsid w:val="00F464B2"/>
    <w:rsid w:val="00F51CB9"/>
    <w:rsid w:val="00F53E62"/>
    <w:rsid w:val="00F725CE"/>
    <w:rsid w:val="00F73887"/>
    <w:rsid w:val="00F749AD"/>
    <w:rsid w:val="00FA0ACB"/>
    <w:rsid w:val="00FC0181"/>
    <w:rsid w:val="00FF59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B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3C22C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5246A"/>
    <w:pPr>
      <w:ind w:leftChars="200" w:left="480"/>
    </w:pPr>
  </w:style>
  <w:style w:type="paragraph" w:styleId="a6">
    <w:name w:val="header"/>
    <w:basedOn w:val="a"/>
    <w:link w:val="a7"/>
    <w:uiPriority w:val="99"/>
    <w:unhideWhenUsed/>
    <w:rsid w:val="00E85000"/>
    <w:pPr>
      <w:tabs>
        <w:tab w:val="center" w:pos="4153"/>
        <w:tab w:val="right" w:pos="8306"/>
      </w:tabs>
      <w:snapToGrid w:val="0"/>
    </w:pPr>
    <w:rPr>
      <w:sz w:val="20"/>
      <w:szCs w:val="20"/>
    </w:rPr>
  </w:style>
  <w:style w:type="character" w:customStyle="1" w:styleId="a7">
    <w:name w:val="頁首 字元"/>
    <w:basedOn w:val="a0"/>
    <w:link w:val="a6"/>
    <w:uiPriority w:val="99"/>
    <w:rsid w:val="00E85000"/>
    <w:rPr>
      <w:sz w:val="20"/>
      <w:szCs w:val="20"/>
    </w:rPr>
  </w:style>
  <w:style w:type="paragraph" w:styleId="a8">
    <w:name w:val="footer"/>
    <w:basedOn w:val="a"/>
    <w:link w:val="a9"/>
    <w:uiPriority w:val="99"/>
    <w:unhideWhenUsed/>
    <w:rsid w:val="00E85000"/>
    <w:pPr>
      <w:tabs>
        <w:tab w:val="center" w:pos="4153"/>
        <w:tab w:val="right" w:pos="8306"/>
      </w:tabs>
      <w:snapToGrid w:val="0"/>
    </w:pPr>
    <w:rPr>
      <w:sz w:val="20"/>
      <w:szCs w:val="20"/>
    </w:rPr>
  </w:style>
  <w:style w:type="character" w:customStyle="1" w:styleId="a9">
    <w:name w:val="頁尾 字元"/>
    <w:basedOn w:val="a0"/>
    <w:link w:val="a8"/>
    <w:uiPriority w:val="99"/>
    <w:rsid w:val="00E85000"/>
    <w:rPr>
      <w:sz w:val="20"/>
      <w:szCs w:val="20"/>
    </w:rPr>
  </w:style>
  <w:style w:type="character" w:styleId="aa">
    <w:name w:val="annotation reference"/>
    <w:basedOn w:val="a0"/>
    <w:uiPriority w:val="99"/>
    <w:semiHidden/>
    <w:unhideWhenUsed/>
    <w:rsid w:val="008A03FA"/>
    <w:rPr>
      <w:sz w:val="18"/>
      <w:szCs w:val="18"/>
    </w:rPr>
  </w:style>
  <w:style w:type="paragraph" w:styleId="ab">
    <w:name w:val="annotation text"/>
    <w:basedOn w:val="a"/>
    <w:link w:val="ac"/>
    <w:uiPriority w:val="99"/>
    <w:semiHidden/>
    <w:unhideWhenUsed/>
    <w:rsid w:val="008A03FA"/>
  </w:style>
  <w:style w:type="character" w:customStyle="1" w:styleId="ac">
    <w:name w:val="註解文字 字元"/>
    <w:basedOn w:val="a0"/>
    <w:link w:val="ab"/>
    <w:uiPriority w:val="99"/>
    <w:semiHidden/>
    <w:rsid w:val="008A03FA"/>
  </w:style>
  <w:style w:type="paragraph" w:styleId="ad">
    <w:name w:val="annotation subject"/>
    <w:basedOn w:val="ab"/>
    <w:next w:val="ab"/>
    <w:link w:val="ae"/>
    <w:uiPriority w:val="99"/>
    <w:semiHidden/>
    <w:unhideWhenUsed/>
    <w:rsid w:val="008A03FA"/>
    <w:rPr>
      <w:b/>
      <w:bCs/>
    </w:rPr>
  </w:style>
  <w:style w:type="character" w:customStyle="1" w:styleId="ae">
    <w:name w:val="註解主旨 字元"/>
    <w:basedOn w:val="ac"/>
    <w:link w:val="ad"/>
    <w:uiPriority w:val="99"/>
    <w:semiHidden/>
    <w:rsid w:val="008A03FA"/>
    <w:rPr>
      <w:b/>
      <w:bCs/>
    </w:rPr>
  </w:style>
  <w:style w:type="paragraph" w:styleId="af">
    <w:name w:val="Balloon Text"/>
    <w:basedOn w:val="a"/>
    <w:link w:val="af0"/>
    <w:uiPriority w:val="99"/>
    <w:semiHidden/>
    <w:unhideWhenUsed/>
    <w:rsid w:val="008A03F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8A03FA"/>
    <w:rPr>
      <w:rFonts w:asciiTheme="majorHAnsi" w:eastAsiaTheme="majorEastAsia" w:hAnsiTheme="majorHAnsi" w:cstheme="majorBidi"/>
      <w:sz w:val="18"/>
      <w:szCs w:val="18"/>
    </w:rPr>
  </w:style>
  <w:style w:type="character" w:customStyle="1" w:styleId="30">
    <w:name w:val="標題 3 字元"/>
    <w:basedOn w:val="a0"/>
    <w:link w:val="3"/>
    <w:uiPriority w:val="9"/>
    <w:rsid w:val="003C22CC"/>
    <w:rPr>
      <w:rFonts w:ascii="新細明體" w:eastAsia="新細明體" w:hAnsi="新細明體" w:cs="新細明體"/>
      <w:b/>
      <w:bCs/>
      <w:kern w:val="0"/>
      <w:sz w:val="27"/>
      <w:szCs w:val="27"/>
    </w:rPr>
  </w:style>
  <w:style w:type="character" w:styleId="af1">
    <w:name w:val="Hyperlink"/>
    <w:basedOn w:val="a0"/>
    <w:uiPriority w:val="99"/>
    <w:unhideWhenUsed/>
    <w:rsid w:val="003C22CC"/>
    <w:rPr>
      <w:color w:val="0000FF"/>
      <w:u w:val="single"/>
    </w:rPr>
  </w:style>
  <w:style w:type="paragraph" w:customStyle="1" w:styleId="af2">
    <w:name w:val="公文(後續段落_段落)"/>
    <w:basedOn w:val="a"/>
    <w:rsid w:val="00C22051"/>
    <w:pPr>
      <w:widowControl/>
      <w:spacing w:line="500" w:lineRule="exact"/>
      <w:ind w:left="960"/>
      <w:textAlignment w:val="baseline"/>
    </w:pPr>
    <w:rPr>
      <w:rFonts w:ascii="Times New Roman" w:eastAsia="標楷體" w:hAnsi="Times New Roman" w:cs="Times New Roman"/>
      <w:noProof/>
      <w:kern w:val="0"/>
      <w:sz w:val="32"/>
      <w:szCs w:val="20"/>
      <w:lang w:bidi="he-IL"/>
    </w:rPr>
  </w:style>
  <w:style w:type="character" w:customStyle="1" w:styleId="a5">
    <w:name w:val="清單段落 字元"/>
    <w:link w:val="a4"/>
    <w:uiPriority w:val="34"/>
    <w:locked/>
    <w:rsid w:val="00E20C48"/>
  </w:style>
  <w:style w:type="character" w:styleId="af3">
    <w:name w:val="Emphasis"/>
    <w:basedOn w:val="a0"/>
    <w:uiPriority w:val="20"/>
    <w:qFormat/>
    <w:rsid w:val="00C008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3C22C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5246A"/>
    <w:pPr>
      <w:ind w:leftChars="200" w:left="480"/>
    </w:pPr>
  </w:style>
  <w:style w:type="paragraph" w:styleId="a6">
    <w:name w:val="header"/>
    <w:basedOn w:val="a"/>
    <w:link w:val="a7"/>
    <w:uiPriority w:val="99"/>
    <w:unhideWhenUsed/>
    <w:rsid w:val="00E85000"/>
    <w:pPr>
      <w:tabs>
        <w:tab w:val="center" w:pos="4153"/>
        <w:tab w:val="right" w:pos="8306"/>
      </w:tabs>
      <w:snapToGrid w:val="0"/>
    </w:pPr>
    <w:rPr>
      <w:sz w:val="20"/>
      <w:szCs w:val="20"/>
    </w:rPr>
  </w:style>
  <w:style w:type="character" w:customStyle="1" w:styleId="a7">
    <w:name w:val="頁首 字元"/>
    <w:basedOn w:val="a0"/>
    <w:link w:val="a6"/>
    <w:uiPriority w:val="99"/>
    <w:rsid w:val="00E85000"/>
    <w:rPr>
      <w:sz w:val="20"/>
      <w:szCs w:val="20"/>
    </w:rPr>
  </w:style>
  <w:style w:type="paragraph" w:styleId="a8">
    <w:name w:val="footer"/>
    <w:basedOn w:val="a"/>
    <w:link w:val="a9"/>
    <w:uiPriority w:val="99"/>
    <w:unhideWhenUsed/>
    <w:rsid w:val="00E85000"/>
    <w:pPr>
      <w:tabs>
        <w:tab w:val="center" w:pos="4153"/>
        <w:tab w:val="right" w:pos="8306"/>
      </w:tabs>
      <w:snapToGrid w:val="0"/>
    </w:pPr>
    <w:rPr>
      <w:sz w:val="20"/>
      <w:szCs w:val="20"/>
    </w:rPr>
  </w:style>
  <w:style w:type="character" w:customStyle="1" w:styleId="a9">
    <w:name w:val="頁尾 字元"/>
    <w:basedOn w:val="a0"/>
    <w:link w:val="a8"/>
    <w:uiPriority w:val="99"/>
    <w:rsid w:val="00E85000"/>
    <w:rPr>
      <w:sz w:val="20"/>
      <w:szCs w:val="20"/>
    </w:rPr>
  </w:style>
  <w:style w:type="character" w:styleId="aa">
    <w:name w:val="annotation reference"/>
    <w:basedOn w:val="a0"/>
    <w:uiPriority w:val="99"/>
    <w:semiHidden/>
    <w:unhideWhenUsed/>
    <w:rsid w:val="008A03FA"/>
    <w:rPr>
      <w:sz w:val="18"/>
      <w:szCs w:val="18"/>
    </w:rPr>
  </w:style>
  <w:style w:type="paragraph" w:styleId="ab">
    <w:name w:val="annotation text"/>
    <w:basedOn w:val="a"/>
    <w:link w:val="ac"/>
    <w:uiPriority w:val="99"/>
    <w:semiHidden/>
    <w:unhideWhenUsed/>
    <w:rsid w:val="008A03FA"/>
  </w:style>
  <w:style w:type="character" w:customStyle="1" w:styleId="ac">
    <w:name w:val="註解文字 字元"/>
    <w:basedOn w:val="a0"/>
    <w:link w:val="ab"/>
    <w:uiPriority w:val="99"/>
    <w:semiHidden/>
    <w:rsid w:val="008A03FA"/>
  </w:style>
  <w:style w:type="paragraph" w:styleId="ad">
    <w:name w:val="annotation subject"/>
    <w:basedOn w:val="ab"/>
    <w:next w:val="ab"/>
    <w:link w:val="ae"/>
    <w:uiPriority w:val="99"/>
    <w:semiHidden/>
    <w:unhideWhenUsed/>
    <w:rsid w:val="008A03FA"/>
    <w:rPr>
      <w:b/>
      <w:bCs/>
    </w:rPr>
  </w:style>
  <w:style w:type="character" w:customStyle="1" w:styleId="ae">
    <w:name w:val="註解主旨 字元"/>
    <w:basedOn w:val="ac"/>
    <w:link w:val="ad"/>
    <w:uiPriority w:val="99"/>
    <w:semiHidden/>
    <w:rsid w:val="008A03FA"/>
    <w:rPr>
      <w:b/>
      <w:bCs/>
    </w:rPr>
  </w:style>
  <w:style w:type="paragraph" w:styleId="af">
    <w:name w:val="Balloon Text"/>
    <w:basedOn w:val="a"/>
    <w:link w:val="af0"/>
    <w:uiPriority w:val="99"/>
    <w:semiHidden/>
    <w:unhideWhenUsed/>
    <w:rsid w:val="008A03F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8A03FA"/>
    <w:rPr>
      <w:rFonts w:asciiTheme="majorHAnsi" w:eastAsiaTheme="majorEastAsia" w:hAnsiTheme="majorHAnsi" w:cstheme="majorBidi"/>
      <w:sz w:val="18"/>
      <w:szCs w:val="18"/>
    </w:rPr>
  </w:style>
  <w:style w:type="character" w:customStyle="1" w:styleId="30">
    <w:name w:val="標題 3 字元"/>
    <w:basedOn w:val="a0"/>
    <w:link w:val="3"/>
    <w:uiPriority w:val="9"/>
    <w:rsid w:val="003C22CC"/>
    <w:rPr>
      <w:rFonts w:ascii="新細明體" w:eastAsia="新細明體" w:hAnsi="新細明體" w:cs="新細明體"/>
      <w:b/>
      <w:bCs/>
      <w:kern w:val="0"/>
      <w:sz w:val="27"/>
      <w:szCs w:val="27"/>
    </w:rPr>
  </w:style>
  <w:style w:type="character" w:styleId="af1">
    <w:name w:val="Hyperlink"/>
    <w:basedOn w:val="a0"/>
    <w:uiPriority w:val="99"/>
    <w:unhideWhenUsed/>
    <w:rsid w:val="003C22CC"/>
    <w:rPr>
      <w:color w:val="0000FF"/>
      <w:u w:val="single"/>
    </w:rPr>
  </w:style>
  <w:style w:type="paragraph" w:customStyle="1" w:styleId="af2">
    <w:name w:val="公文(後續段落_段落)"/>
    <w:basedOn w:val="a"/>
    <w:rsid w:val="00C22051"/>
    <w:pPr>
      <w:widowControl/>
      <w:spacing w:line="500" w:lineRule="exact"/>
      <w:ind w:left="960"/>
      <w:textAlignment w:val="baseline"/>
    </w:pPr>
    <w:rPr>
      <w:rFonts w:ascii="Times New Roman" w:eastAsia="標楷體" w:hAnsi="Times New Roman" w:cs="Times New Roman"/>
      <w:noProof/>
      <w:kern w:val="0"/>
      <w:sz w:val="32"/>
      <w:szCs w:val="20"/>
      <w:lang w:bidi="he-IL"/>
    </w:rPr>
  </w:style>
  <w:style w:type="character" w:customStyle="1" w:styleId="a5">
    <w:name w:val="清單段落 字元"/>
    <w:link w:val="a4"/>
    <w:uiPriority w:val="34"/>
    <w:locked/>
    <w:rsid w:val="00E20C48"/>
  </w:style>
  <w:style w:type="character" w:styleId="af3">
    <w:name w:val="Emphasis"/>
    <w:basedOn w:val="a0"/>
    <w:uiPriority w:val="20"/>
    <w:qFormat/>
    <w:rsid w:val="00C008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2691">
      <w:bodyDiv w:val="1"/>
      <w:marLeft w:val="0"/>
      <w:marRight w:val="0"/>
      <w:marTop w:val="0"/>
      <w:marBottom w:val="0"/>
      <w:divBdr>
        <w:top w:val="none" w:sz="0" w:space="0" w:color="auto"/>
        <w:left w:val="none" w:sz="0" w:space="0" w:color="auto"/>
        <w:bottom w:val="none" w:sz="0" w:space="0" w:color="auto"/>
        <w:right w:val="none" w:sz="0" w:space="0" w:color="auto"/>
      </w:divBdr>
      <w:divsChild>
        <w:div w:id="1585532020">
          <w:marLeft w:val="0"/>
          <w:marRight w:val="0"/>
          <w:marTop w:val="0"/>
          <w:marBottom w:val="0"/>
          <w:divBdr>
            <w:top w:val="none" w:sz="0" w:space="0" w:color="auto"/>
            <w:left w:val="none" w:sz="0" w:space="0" w:color="auto"/>
            <w:bottom w:val="none" w:sz="0" w:space="0" w:color="auto"/>
            <w:right w:val="none" w:sz="0" w:space="0" w:color="auto"/>
          </w:divBdr>
          <w:divsChild>
            <w:div w:id="1230919685">
              <w:marLeft w:val="0"/>
              <w:marRight w:val="0"/>
              <w:marTop w:val="0"/>
              <w:marBottom w:val="0"/>
              <w:divBdr>
                <w:top w:val="none" w:sz="0" w:space="0" w:color="auto"/>
                <w:left w:val="none" w:sz="0" w:space="0" w:color="auto"/>
                <w:bottom w:val="none" w:sz="0" w:space="0" w:color="auto"/>
                <w:right w:val="none" w:sz="0" w:space="0" w:color="auto"/>
              </w:divBdr>
              <w:divsChild>
                <w:div w:id="105541268">
                  <w:marLeft w:val="0"/>
                  <w:marRight w:val="0"/>
                  <w:marTop w:val="0"/>
                  <w:marBottom w:val="0"/>
                  <w:divBdr>
                    <w:top w:val="none" w:sz="0" w:space="0" w:color="auto"/>
                    <w:left w:val="none" w:sz="0" w:space="0" w:color="auto"/>
                    <w:bottom w:val="none" w:sz="0" w:space="0" w:color="auto"/>
                    <w:right w:val="none" w:sz="0" w:space="0" w:color="auto"/>
                  </w:divBdr>
                  <w:divsChild>
                    <w:div w:id="5310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56305">
          <w:marLeft w:val="0"/>
          <w:marRight w:val="0"/>
          <w:marTop w:val="0"/>
          <w:marBottom w:val="0"/>
          <w:divBdr>
            <w:top w:val="none" w:sz="0" w:space="0" w:color="auto"/>
            <w:left w:val="none" w:sz="0" w:space="0" w:color="auto"/>
            <w:bottom w:val="none" w:sz="0" w:space="0" w:color="auto"/>
            <w:right w:val="none" w:sz="0" w:space="0" w:color="auto"/>
          </w:divBdr>
          <w:divsChild>
            <w:div w:id="317538416">
              <w:marLeft w:val="0"/>
              <w:marRight w:val="0"/>
              <w:marTop w:val="0"/>
              <w:marBottom w:val="0"/>
              <w:divBdr>
                <w:top w:val="none" w:sz="0" w:space="0" w:color="auto"/>
                <w:left w:val="none" w:sz="0" w:space="0" w:color="auto"/>
                <w:bottom w:val="none" w:sz="0" w:space="0" w:color="auto"/>
                <w:right w:val="none" w:sz="0" w:space="0" w:color="auto"/>
              </w:divBdr>
              <w:divsChild>
                <w:div w:id="1928227898">
                  <w:marLeft w:val="0"/>
                  <w:marRight w:val="0"/>
                  <w:marTop w:val="120"/>
                  <w:marBottom w:val="0"/>
                  <w:divBdr>
                    <w:top w:val="none" w:sz="0" w:space="0" w:color="auto"/>
                    <w:left w:val="none" w:sz="0" w:space="0" w:color="auto"/>
                    <w:bottom w:val="none" w:sz="0" w:space="0" w:color="auto"/>
                    <w:right w:val="none" w:sz="0" w:space="0" w:color="auto"/>
                  </w:divBdr>
                  <w:divsChild>
                    <w:div w:id="1639191279">
                      <w:marLeft w:val="0"/>
                      <w:marRight w:val="0"/>
                      <w:marTop w:val="0"/>
                      <w:marBottom w:val="0"/>
                      <w:divBdr>
                        <w:top w:val="none" w:sz="0" w:space="0" w:color="auto"/>
                        <w:left w:val="none" w:sz="0" w:space="0" w:color="auto"/>
                        <w:bottom w:val="none" w:sz="0" w:space="0" w:color="auto"/>
                        <w:right w:val="none" w:sz="0" w:space="0" w:color="auto"/>
                      </w:divBdr>
                      <w:divsChild>
                        <w:div w:id="366220482">
                          <w:marLeft w:val="0"/>
                          <w:marRight w:val="0"/>
                          <w:marTop w:val="0"/>
                          <w:marBottom w:val="0"/>
                          <w:divBdr>
                            <w:top w:val="none" w:sz="0" w:space="0" w:color="auto"/>
                            <w:left w:val="none" w:sz="0" w:space="0" w:color="auto"/>
                            <w:bottom w:val="none" w:sz="0" w:space="0" w:color="auto"/>
                            <w:right w:val="none" w:sz="0" w:space="0" w:color="auto"/>
                          </w:divBdr>
                          <w:divsChild>
                            <w:div w:id="2080785026">
                              <w:marLeft w:val="0"/>
                              <w:marRight w:val="0"/>
                              <w:marTop w:val="0"/>
                              <w:marBottom w:val="0"/>
                              <w:divBdr>
                                <w:top w:val="none" w:sz="0" w:space="0" w:color="auto"/>
                                <w:left w:val="none" w:sz="0" w:space="0" w:color="auto"/>
                                <w:bottom w:val="none" w:sz="0" w:space="0" w:color="auto"/>
                                <w:right w:val="none" w:sz="0" w:space="0" w:color="auto"/>
                              </w:divBdr>
                              <w:divsChild>
                                <w:div w:id="1355762746">
                                  <w:marLeft w:val="0"/>
                                  <w:marRight w:val="0"/>
                                  <w:marTop w:val="0"/>
                                  <w:marBottom w:val="0"/>
                                  <w:divBdr>
                                    <w:top w:val="none" w:sz="0" w:space="0" w:color="auto"/>
                                    <w:left w:val="none" w:sz="0" w:space="0" w:color="auto"/>
                                    <w:bottom w:val="none" w:sz="0" w:space="0" w:color="auto"/>
                                    <w:right w:val="none" w:sz="0" w:space="0" w:color="auto"/>
                                  </w:divBdr>
                                  <w:divsChild>
                                    <w:div w:id="4509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832420">
      <w:bodyDiv w:val="1"/>
      <w:marLeft w:val="0"/>
      <w:marRight w:val="0"/>
      <w:marTop w:val="0"/>
      <w:marBottom w:val="0"/>
      <w:divBdr>
        <w:top w:val="none" w:sz="0" w:space="0" w:color="auto"/>
        <w:left w:val="none" w:sz="0" w:space="0" w:color="auto"/>
        <w:bottom w:val="none" w:sz="0" w:space="0" w:color="auto"/>
        <w:right w:val="none" w:sz="0" w:space="0" w:color="auto"/>
      </w:divBdr>
    </w:div>
    <w:div w:id="1500847781">
      <w:bodyDiv w:val="1"/>
      <w:marLeft w:val="0"/>
      <w:marRight w:val="0"/>
      <w:marTop w:val="0"/>
      <w:marBottom w:val="0"/>
      <w:divBdr>
        <w:top w:val="none" w:sz="0" w:space="0" w:color="auto"/>
        <w:left w:val="none" w:sz="0" w:space="0" w:color="auto"/>
        <w:bottom w:val="none" w:sz="0" w:space="0" w:color="auto"/>
        <w:right w:val="none" w:sz="0" w:space="0" w:color="auto"/>
      </w:divBdr>
    </w:div>
    <w:div w:id="189886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2B893-AEE7-4BC0-BD4C-E1808F19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User</cp:lastModifiedBy>
  <cp:revision>199</cp:revision>
  <cp:lastPrinted>2023-01-16T07:48:00Z</cp:lastPrinted>
  <dcterms:created xsi:type="dcterms:W3CDTF">2019-05-06T05:55:00Z</dcterms:created>
  <dcterms:modified xsi:type="dcterms:W3CDTF">2024-01-09T02:00:00Z</dcterms:modified>
</cp:coreProperties>
</file>