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59B96182" w:rsidR="00E85000" w:rsidRPr="00AF7F9B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7F9B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A70E50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(112</w:t>
      </w:r>
      <w:r w:rsidR="00DB23CA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C1062E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C1062E">
        <w:rPr>
          <w:rFonts w:ascii="Times New Roman" w:eastAsia="標楷體" w:hAnsi="Times New Roman" w:cs="Times New Roman" w:hint="eastAsia"/>
          <w:b/>
          <w:sz w:val="32"/>
          <w:szCs w:val="32"/>
        </w:rPr>
        <w:t>15</w:t>
      </w:r>
      <w:r w:rsidR="00D804F8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624"/>
      </w:tblGrid>
      <w:tr w:rsidR="00EC13E4" w:rsidRPr="00AF7F9B" w14:paraId="7CCFBE54" w14:textId="77777777" w:rsidTr="00AF7503">
        <w:trPr>
          <w:trHeight w:val="362"/>
          <w:tblHeader/>
          <w:jc w:val="center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63407EDE" w14:textId="3D104FB3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C4FE862" w14:textId="6A36D8BA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624" w:type="dxa"/>
            <w:shd w:val="clear" w:color="auto" w:fill="D0CECE" w:themeFill="background2" w:themeFillShade="E6"/>
            <w:vAlign w:val="center"/>
          </w:tcPr>
          <w:p w14:paraId="6092DA5B" w14:textId="69B64D2C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290CA3" w:rsidRPr="00AF7F9B" w14:paraId="62E379F2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429AB1" w14:textId="54FF161D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018F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259CECE3" w14:textId="77777777" w:rsidR="00290CA3" w:rsidRPr="0066725A" w:rsidRDefault="00290CA3" w:rsidP="006A0A4F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北區西醫基層白內障手術案件管理</w:t>
            </w:r>
            <w:proofErr w:type="gramStart"/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專案抽審診所</w:t>
            </w:r>
            <w:proofErr w:type="gramEnd"/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輔導成效暨</w:t>
            </w:r>
            <w:proofErr w:type="gramStart"/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</w:t>
            </w:r>
            <w:proofErr w:type="gramEnd"/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議修訂管理指標案新增指標及修正指標八定義。</w:t>
            </w:r>
          </w:p>
          <w:p w14:paraId="20354541" w14:textId="32EDF094" w:rsidR="00290CA3" w:rsidRPr="008018F7" w:rsidRDefault="00290CA3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詳附件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62F53D01" w14:textId="77777777" w:rsidR="00290CA3" w:rsidRDefault="00290CA3" w:rsidP="00290CA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一、本分區白內障手術案件，為加強監測術後品質，新增訂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下列抽審指標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白內障手術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日內同眼再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執行白內障相關手術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採論人歸戶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)_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同醫師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不同醫師。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白內障手術，術後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日高併發症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眼內炎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、玻璃體切除術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大於同儕之案件。</w:t>
            </w:r>
          </w:p>
          <w:p w14:paraId="36AE96FF" w14:textId="75322AC6" w:rsidR="00290CA3" w:rsidRPr="00AF7F9B" w:rsidRDefault="00290CA3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二、「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北區西醫基層白內障手術案件管理專案指標」指標八，為期明確定義，修正為「以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 xml:space="preserve">108 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年為基期，申報白內障手術案件季成長率平均值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件數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月份數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大於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5%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之院所，該季申報白內障手術案件月平均大於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 xml:space="preserve">10 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例，且該月申報件數大於合理件數。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 xml:space="preserve">108 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年基期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之院所，該季申報白內障手術案件月平均大於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 xml:space="preserve">10 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例，且該月申報件數大於合理件數即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納入抽審</w:t>
            </w:r>
            <w:proofErr w:type="gramEnd"/>
            <w:r w:rsidRPr="000724F7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【註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：合理件數計算參用眼科醫學會「白內障手術特別管理方案（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 xml:space="preserve">111.1.25 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修正版）」以院所專任專科醫師數計，合理件數＝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40+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（專任且申報白內障手術案件之眼科專科醫師數</w:t>
            </w:r>
            <w:r w:rsidRPr="000724F7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*23</w:t>
            </w:r>
            <w:proofErr w:type="gramStart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】</w:t>
            </w:r>
            <w:proofErr w:type="gramEnd"/>
            <w:r w:rsidRPr="000724F7">
              <w:rPr>
                <w:rFonts w:ascii="Times New Roman" w:eastAsia="標楷體" w:hAnsi="Times New Roman" w:cs="Times New Roman" w:hint="eastAsia"/>
                <w:szCs w:val="24"/>
              </w:rPr>
              <w:t>」。</w:t>
            </w:r>
          </w:p>
        </w:tc>
      </w:tr>
      <w:tr w:rsidR="00290CA3" w:rsidRPr="00AF7F9B" w14:paraId="57636289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06B09B" w14:textId="431019D3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20187" w14:textId="615EE1AD" w:rsidR="00290CA3" w:rsidRPr="008018F7" w:rsidRDefault="00290CA3" w:rsidP="00C008DB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修訂西醫基層總額醫療服務審查管理項目醫療利用類項次</w:t>
            </w:r>
            <w:r w:rsidRPr="0066725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C2</w:t>
            </w:r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66725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C3 </w:t>
            </w:r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指標。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詳附件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034FA7B" w14:textId="77777777" w:rsidR="00290CA3" w:rsidRDefault="00290CA3" w:rsidP="006A0A4F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自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費用年月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起調整如下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7B7A1DBE" w14:textId="77777777" w:rsidR="00290CA3" w:rsidRPr="002B7F74" w:rsidRDefault="00290CA3" w:rsidP="006A0A4F">
            <w:pPr>
              <w:widowControl/>
              <w:snapToGrid w:val="0"/>
              <w:spacing w:afterLines="50" w:after="180"/>
              <w:ind w:left="432" w:rightChars="9" w:right="2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C2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C3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指標：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)108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日後特約院所，調整成長率比較基期為「去年同期」。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非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日後特約院所，自比較基期為「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年同期」及「去年同期」成長率</w:t>
            </w:r>
            <w:proofErr w:type="gramStart"/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中擇較低</w:t>
            </w:r>
            <w:proofErr w:type="gramEnd"/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者做估算。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自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費用年月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起恢復以「去年同期」為比較基期。</w:t>
            </w:r>
          </w:p>
          <w:p w14:paraId="45F15C01" w14:textId="16D3F2CB" w:rsidR="00290CA3" w:rsidRPr="003B13C1" w:rsidRDefault="00290CA3" w:rsidP="00290CA3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二、各項醫療利用類指標，均排除核糖核酸類定量擴增試驗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(12185C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2,200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B7F74">
              <w:rPr>
                <w:rFonts w:ascii="Times New Roman" w:eastAsia="標楷體" w:hAnsi="Times New Roman" w:cs="Times New Roman" w:hint="eastAsia"/>
                <w:szCs w:val="24"/>
              </w:rPr>
              <w:t>之費用，不列入統計。</w:t>
            </w:r>
          </w:p>
        </w:tc>
      </w:tr>
      <w:tr w:rsidR="00290CA3" w:rsidRPr="00AF7F9B" w14:paraId="01AE14DE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657C5D" w14:textId="74085580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60DB8C" w14:textId="521764E3" w:rsidR="00290CA3" w:rsidRPr="003B13C1" w:rsidRDefault="00290CA3" w:rsidP="00C008DB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服務時段登錄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簡化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功能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56D34294" w14:textId="668630E1" w:rsidR="00290CA3" w:rsidRPr="003B13C1" w:rsidRDefault="00290CA3" w:rsidP="00290CA3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年起長天期服務時段登錄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功能</w:t>
            </w:r>
            <w:r w:rsidRPr="00F725CE">
              <w:rPr>
                <w:rFonts w:ascii="Times New Roman" w:eastAsia="標楷體" w:hAnsi="Times New Roman" w:cs="Times New Roman" w:hint="eastAsia"/>
                <w:szCs w:val="24"/>
              </w:rPr>
              <w:t>已簡化，可隨時完成全年連假登錄作業。</w:t>
            </w:r>
          </w:p>
        </w:tc>
      </w:tr>
      <w:tr w:rsidR="00290CA3" w:rsidRPr="00AF7F9B" w14:paraId="1DD403A4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5D3A95F" w14:textId="7EC4FD44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56CE5" w14:textId="450E0E77" w:rsidR="00290CA3" w:rsidRPr="003B13C1" w:rsidRDefault="00290CA3" w:rsidP="00C008DB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簡表案件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請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規定格式正確且核實申報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4FF3654" w14:textId="474DC631" w:rsidR="00290CA3" w:rsidRPr="003B13C1" w:rsidRDefault="00290CA3" w:rsidP="00290CA3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為基層用藥安全暨民眾資訊透明，並確保申報資料正確性，簡表案件依規定格式正確且核實申報用藥資料。</w:t>
            </w:r>
          </w:p>
        </w:tc>
      </w:tr>
      <w:tr w:rsidR="00290CA3" w:rsidRPr="00AF7F9B" w14:paraId="4E95F697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7C0A8D" w14:textId="66351DF3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F9B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D9A38" w14:textId="334B66E7" w:rsidR="00290CA3" w:rsidRPr="008018F7" w:rsidRDefault="00290CA3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新增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00246C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「提升基層護理人員照護品質加計」項目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1F1E553" w14:textId="77777777" w:rsidR="00290CA3" w:rsidRPr="003B13C1" w:rsidRDefault="00290CA3" w:rsidP="003B13C1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自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日新增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00246C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「提升基層護理人員照護品質加計」項目，「</w:t>
            </w:r>
            <w:proofErr w:type="gramStart"/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限聘有</w:t>
            </w:r>
            <w:proofErr w:type="gramEnd"/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護理人員且有調升其薪資之西醫基層診所，申報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至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人次門診診察費之案件得</w:t>
            </w:r>
            <w:proofErr w:type="gramStart"/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併</w:t>
            </w:r>
            <w:proofErr w:type="gramEnd"/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報本項」，且自調升薪資</w:t>
            </w:r>
            <w:proofErr w:type="gramStart"/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當月起皆符合</w:t>
            </w:r>
            <w:proofErr w:type="gramEnd"/>
            <w:r w:rsidRPr="003B13C1">
              <w:rPr>
                <w:rFonts w:ascii="Times New Roman" w:eastAsia="標楷體" w:hAnsi="Times New Roman" w:cs="Times New Roman"/>
                <w:sz w:val="26"/>
                <w:szCs w:val="26"/>
              </w:rPr>
              <w:t>申報資格。</w:t>
            </w:r>
          </w:p>
          <w:p w14:paraId="1E020567" w14:textId="4C2065E5" w:rsidR="00290CA3" w:rsidRPr="00AF7F9B" w:rsidRDefault="00290CA3" w:rsidP="002B1012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33F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290CA3" w:rsidRPr="00AF7F9B" w14:paraId="403AEB2A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39FD8F0" w14:textId="1ECAE40C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5254A4" w14:textId="7E406DAA" w:rsidR="00290CA3" w:rsidRPr="0066725A" w:rsidRDefault="00290CA3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型肝炎篩檢服務、</w:t>
            </w:r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放寬不限專科別醫師均可開立</w:t>
            </w:r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 w:rsidRPr="0066725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肝口服新藥宣導。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詳附件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054E8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F85EF52" w14:textId="71D8400C" w:rsidR="00290CA3" w:rsidRPr="0066725A" w:rsidRDefault="00290CA3" w:rsidP="001E27EF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國健署</w:t>
            </w:r>
            <w:proofErr w:type="gramEnd"/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提供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45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歲至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79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歲民眾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原住民提早至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歲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終身一次的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型肝炎篩檢服務；另健保署系統建置「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肝炎專區」，可查詢病人最近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次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肝炎相關用藥、檢驗檢查、就醫紀錄，請多加利用；自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22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日起，放寬不限專科別醫師均可開立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肝口服新藥，鼓勵醫師加入治療行列，收案後請定期追蹤個案用藥及回診情形，避免療程中斷影響藥品療效及無法評估治療成果；</w:t>
            </w:r>
            <w:proofErr w:type="gramStart"/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北業務組於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月回饋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肝潛在個案予醫療院所參考，請進一步評估個案後續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RNA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檢驗及治療之必要性；為利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肝病人收治，如診所有意願接受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肝病人轉</w:t>
            </w:r>
            <w:proofErr w:type="gramStart"/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介</w:t>
            </w:r>
            <w:proofErr w:type="gramEnd"/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，請洽台北業務組窗口莊小姐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02-2348-6403</w:t>
            </w:r>
            <w:r w:rsidRPr="0066725A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290CA3" w:rsidRPr="00AF7F9B" w14:paraId="70C957A9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130CEB" w14:textId="689B61FF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36AE3" w14:textId="595E4F86" w:rsidR="00290CA3" w:rsidRPr="008018F7" w:rsidRDefault="00290CA3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9F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糖尿病及初期慢性腎臟病照護整合方案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988664D" w14:textId="659F8414" w:rsidR="00290CA3" w:rsidRPr="001C766D" w:rsidRDefault="00290CA3" w:rsidP="001C766D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病人同一次就診中，完成</w:t>
            </w: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DM</w:t>
            </w: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及</w:t>
            </w: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CKD</w:t>
            </w: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追蹤管理照護，可申報</w:t>
            </w: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DKD</w:t>
            </w:r>
            <w:proofErr w:type="gramStart"/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共病照</w:t>
            </w:r>
            <w:proofErr w:type="gramEnd"/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護相關費用，避免</w:t>
            </w:r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DKD</w:t>
            </w:r>
            <w:proofErr w:type="gramStart"/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共病病人</w:t>
            </w:r>
            <w:proofErr w:type="gramEnd"/>
            <w:r w:rsidRPr="001C766D">
              <w:rPr>
                <w:rFonts w:ascii="Times New Roman" w:eastAsia="標楷體" w:hAnsi="Times New Roman" w:cs="Times New Roman"/>
                <w:sz w:val="26"/>
                <w:szCs w:val="26"/>
              </w:rPr>
              <w:t>分次就醫情形。</w:t>
            </w:r>
          </w:p>
        </w:tc>
      </w:tr>
      <w:tr w:rsidR="00290CA3" w:rsidRPr="00AF7F9B" w14:paraId="773E0F94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898977E" w14:textId="2C0B51F9" w:rsidR="00290CA3" w:rsidRPr="008018F7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89651" w14:textId="0ABAC00A" w:rsidR="00290CA3" w:rsidRPr="008018F7" w:rsidRDefault="00290CA3" w:rsidP="00832373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鼓勵院所加強推動腹膜透析與提升品質計畫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BAB5739" w14:textId="50FD08A9" w:rsidR="00290CA3" w:rsidRPr="006C19FB" w:rsidRDefault="00290CA3" w:rsidP="006C19FB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已執行血液透析診所設置腹膜透析中心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室及開辦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PD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業務，並於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VPN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申請加入此計畫，可與醫院組成共同照護團隊相互支應，領取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60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萬點之新設立獎勵費。</w:t>
            </w:r>
          </w:p>
        </w:tc>
      </w:tr>
      <w:tr w:rsidR="00290CA3" w:rsidRPr="00AF7F9B" w14:paraId="402DC15D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9E10FAA" w14:textId="49548B3B" w:rsidR="00290CA3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2E3D2" w14:textId="66AE8BE0" w:rsidR="00290CA3" w:rsidRPr="008018F7" w:rsidRDefault="00290CA3" w:rsidP="006C19FB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鼓勵參與「全民健康保險居家醫療照護整合計畫」院所加入長期照顧司「居家失能個案家庭醫師照護方案」之特約單位。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78ABAD2" w14:textId="7943F86E" w:rsidR="00290CA3" w:rsidRPr="006C19FB" w:rsidRDefault="00290CA3" w:rsidP="006C19FB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為落實醫療與長照結合之服務模式，提供失能個案以個案為中心的醫療照護及長期照顧整合性服務，請踴躍參與</w:t>
            </w:r>
            <w:proofErr w:type="gramStart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長照司居家</w:t>
            </w:r>
            <w:proofErr w:type="gramEnd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失能方案；相關參考資料請至衛生福利部長期照顧</w:t>
            </w:r>
            <w:proofErr w:type="gramStart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司官網</w:t>
            </w:r>
            <w:proofErr w:type="gramEnd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首頁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長照專區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服務項目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醫療銜接長照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居家失能個案家庭醫師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/112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年居家失能個案家庭醫師照護方案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(1120626)</w:t>
            </w:r>
            <w:proofErr w:type="gramStart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擷取下載參考。</w:t>
            </w:r>
          </w:p>
        </w:tc>
      </w:tr>
      <w:tr w:rsidR="00290CA3" w:rsidRPr="00AF7F9B" w14:paraId="1430A6CC" w14:textId="77777777" w:rsidTr="0066725A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AE796D" w14:textId="4B6E451A" w:rsidR="00290CA3" w:rsidRDefault="00290CA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51EF8" w14:textId="2CE1F419" w:rsidR="00290CA3" w:rsidRPr="008018F7" w:rsidRDefault="00290CA3" w:rsidP="001561E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健保署台北業務組重申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健保醫療辦法第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條第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項規定</w:t>
            </w:r>
            <w:r w:rsidRPr="008018F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531D7CC" w14:textId="2DE5A8DD" w:rsidR="00290CA3" w:rsidRPr="006C19FB" w:rsidRDefault="00290CA3" w:rsidP="006C19FB">
            <w:pPr>
              <w:widowControl/>
              <w:snapToGrid w:val="0"/>
              <w:spacing w:afterLines="20" w:after="72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依健保醫療辦法第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條第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項規定：「簡單傷口：二日內換藥為同一療程之治療項目，僅可登錄就醫序號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次」，另依支付標準第二部第一章第一節通則九：「全民健康保險醫療辦法第八條規定之同一療程疾病，各療程之</w:t>
            </w:r>
            <w:proofErr w:type="gramStart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診察費限申報</w:t>
            </w:r>
            <w:proofErr w:type="gramEnd"/>
            <w:r w:rsidRPr="006C19FB">
              <w:rPr>
                <w:rFonts w:ascii="Times New Roman" w:eastAsia="標楷體" w:hAnsi="Times New Roman" w:cs="Times New Roman"/>
                <w:sz w:val="26"/>
                <w:szCs w:val="26"/>
              </w:rPr>
              <w:t>一次」，特約院所務必依健保支付及審查規定，核實申報相關簡單傷口二日內之換藥療程案件。</w:t>
            </w:r>
          </w:p>
        </w:tc>
      </w:tr>
      <w:tr w:rsidR="006C19FB" w:rsidRPr="00F725CE" w14:paraId="3DEB7563" w14:textId="77777777" w:rsidTr="0066725A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0B6B2E9" w14:textId="799DA218" w:rsidR="006C19FB" w:rsidRDefault="00290CA3" w:rsidP="007061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</w:t>
            </w:r>
            <w:r w:rsidR="00706108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14:paraId="6BFA71DA" w14:textId="267E39D5" w:rsidR="006C19FB" w:rsidRPr="00AF7F9B" w:rsidRDefault="006C19FB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申報門診手術相關</w:t>
            </w:r>
            <w:proofErr w:type="gramStart"/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</w:t>
            </w:r>
            <w:proofErr w:type="gramEnd"/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令填報「執行</w:t>
            </w:r>
            <w:proofErr w:type="gramStart"/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</w:t>
            </w:r>
            <w:proofErr w:type="gramEnd"/>
            <w:r w:rsidRPr="006C19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事人員代號」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1EEB6E7" w14:textId="3F881A9A" w:rsidR="006C19FB" w:rsidRPr="00F725CE" w:rsidRDefault="006278D4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為提升手術案件申報品質，自費用年月</w:t>
            </w:r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月起申報門診手術相關</w:t>
            </w:r>
            <w:proofErr w:type="gramStart"/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醫令需</w:t>
            </w:r>
            <w:proofErr w:type="gramEnd"/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填報「執行</w:t>
            </w:r>
            <w:proofErr w:type="gramStart"/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事人員代號」，並於申報方式正式上線前於「</w:t>
            </w:r>
            <w:proofErr w:type="gramStart"/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預檢</w:t>
            </w:r>
            <w:proofErr w:type="gramEnd"/>
            <w:r w:rsidRPr="00F6087B">
              <w:rPr>
                <w:rFonts w:ascii="Times New Roman" w:eastAsia="標楷體" w:hAnsi="Times New Roman" w:cs="Times New Roman"/>
                <w:sz w:val="26"/>
                <w:szCs w:val="26"/>
              </w:rPr>
              <w:t>」醫療費用申報標示錯誤代碼，惟不剔退醫療費用申報資料。</w:t>
            </w:r>
          </w:p>
        </w:tc>
      </w:tr>
    </w:tbl>
    <w:p w14:paraId="60F31065" w14:textId="2BA35C7B" w:rsidR="00991D86" w:rsidRPr="00EC13E4" w:rsidRDefault="00991D86"/>
    <w:sectPr w:rsidR="00991D86" w:rsidRPr="00EC13E4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B559C" w14:textId="77777777" w:rsidR="003C7685" w:rsidRDefault="003C7685" w:rsidP="00E85000">
      <w:r>
        <w:separator/>
      </w:r>
    </w:p>
  </w:endnote>
  <w:endnote w:type="continuationSeparator" w:id="0">
    <w:p w14:paraId="436A6773" w14:textId="77777777" w:rsidR="003C7685" w:rsidRDefault="003C7685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08" w:rsidRPr="0070610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F2EFD" w14:textId="77777777" w:rsidR="003C7685" w:rsidRDefault="003C7685" w:rsidP="00E85000">
      <w:r>
        <w:separator/>
      </w:r>
    </w:p>
  </w:footnote>
  <w:footnote w:type="continuationSeparator" w:id="0">
    <w:p w14:paraId="02C19090" w14:textId="77777777" w:rsidR="003C7685" w:rsidRDefault="003C7685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CA75FD"/>
    <w:multiLevelType w:val="hybridMultilevel"/>
    <w:tmpl w:val="66BC9042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C26DC"/>
    <w:multiLevelType w:val="hybridMultilevel"/>
    <w:tmpl w:val="C0BEBD82"/>
    <w:lvl w:ilvl="0" w:tplc="A3DCD9B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D97F34"/>
    <w:multiLevelType w:val="hybridMultilevel"/>
    <w:tmpl w:val="99F258BC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8E3D49"/>
    <w:multiLevelType w:val="hybridMultilevel"/>
    <w:tmpl w:val="D2466372"/>
    <w:lvl w:ilvl="0" w:tplc="5CE8C3A8">
      <w:start w:val="1"/>
      <w:numFmt w:val="decimal"/>
      <w:lvlText w:val="%1."/>
      <w:lvlJc w:val="righ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104FDE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7F3E98"/>
    <w:multiLevelType w:val="hybridMultilevel"/>
    <w:tmpl w:val="726C225E"/>
    <w:lvl w:ilvl="0" w:tplc="3C32C2D8">
      <w:start w:val="1"/>
      <w:numFmt w:val="taiwaneseCountingThousand"/>
      <w:lvlText w:val="(%1)"/>
      <w:lvlJc w:val="left"/>
      <w:pPr>
        <w:ind w:left="3201" w:hanging="64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1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7"/>
  </w:num>
  <w:num w:numId="5">
    <w:abstractNumId w:val="9"/>
  </w:num>
  <w:num w:numId="6">
    <w:abstractNumId w:val="13"/>
  </w:num>
  <w:num w:numId="7">
    <w:abstractNumId w:val="5"/>
  </w:num>
  <w:num w:numId="8">
    <w:abstractNumId w:val="19"/>
  </w:num>
  <w:num w:numId="9">
    <w:abstractNumId w:val="21"/>
  </w:num>
  <w:num w:numId="10">
    <w:abstractNumId w:val="1"/>
  </w:num>
  <w:num w:numId="11">
    <w:abstractNumId w:val="16"/>
  </w:num>
  <w:num w:numId="12">
    <w:abstractNumId w:val="24"/>
  </w:num>
  <w:num w:numId="13">
    <w:abstractNumId w:val="22"/>
  </w:num>
  <w:num w:numId="14">
    <w:abstractNumId w:val="7"/>
  </w:num>
  <w:num w:numId="15">
    <w:abstractNumId w:val="23"/>
  </w:num>
  <w:num w:numId="16">
    <w:abstractNumId w:val="8"/>
  </w:num>
  <w:num w:numId="17">
    <w:abstractNumId w:val="15"/>
  </w:num>
  <w:num w:numId="18">
    <w:abstractNumId w:val="0"/>
  </w:num>
  <w:num w:numId="19">
    <w:abstractNumId w:val="10"/>
  </w:num>
  <w:num w:numId="20">
    <w:abstractNumId w:val="4"/>
  </w:num>
  <w:num w:numId="21">
    <w:abstractNumId w:val="12"/>
  </w:num>
  <w:num w:numId="22">
    <w:abstractNumId w:val="3"/>
  </w:num>
  <w:num w:numId="23">
    <w:abstractNumId w:val="6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68A1"/>
    <w:rsid w:val="00054E84"/>
    <w:rsid w:val="00056116"/>
    <w:rsid w:val="00056C54"/>
    <w:rsid w:val="000724F7"/>
    <w:rsid w:val="000912F7"/>
    <w:rsid w:val="000A036E"/>
    <w:rsid w:val="000A18BD"/>
    <w:rsid w:val="000B6559"/>
    <w:rsid w:val="000C1B33"/>
    <w:rsid w:val="000C4110"/>
    <w:rsid w:val="000C6A51"/>
    <w:rsid w:val="000D3067"/>
    <w:rsid w:val="000E1E39"/>
    <w:rsid w:val="000F0E80"/>
    <w:rsid w:val="00100B77"/>
    <w:rsid w:val="001020E9"/>
    <w:rsid w:val="00106557"/>
    <w:rsid w:val="00106D01"/>
    <w:rsid w:val="00114A48"/>
    <w:rsid w:val="00120D52"/>
    <w:rsid w:val="0013735F"/>
    <w:rsid w:val="00143D4D"/>
    <w:rsid w:val="0014429E"/>
    <w:rsid w:val="001528E8"/>
    <w:rsid w:val="0015302E"/>
    <w:rsid w:val="001561E4"/>
    <w:rsid w:val="0016543C"/>
    <w:rsid w:val="001665A8"/>
    <w:rsid w:val="001903FD"/>
    <w:rsid w:val="00193E30"/>
    <w:rsid w:val="001B1D83"/>
    <w:rsid w:val="001C1241"/>
    <w:rsid w:val="001C4BAA"/>
    <w:rsid w:val="001C766D"/>
    <w:rsid w:val="001D2997"/>
    <w:rsid w:val="001E27EF"/>
    <w:rsid w:val="001E68BB"/>
    <w:rsid w:val="001F719F"/>
    <w:rsid w:val="00203E86"/>
    <w:rsid w:val="00205923"/>
    <w:rsid w:val="00211FC7"/>
    <w:rsid w:val="00225998"/>
    <w:rsid w:val="00234174"/>
    <w:rsid w:val="002370D5"/>
    <w:rsid w:val="00260841"/>
    <w:rsid w:val="00262EEB"/>
    <w:rsid w:val="0026486B"/>
    <w:rsid w:val="002709CC"/>
    <w:rsid w:val="00281C84"/>
    <w:rsid w:val="00290CA3"/>
    <w:rsid w:val="002933FF"/>
    <w:rsid w:val="00294469"/>
    <w:rsid w:val="00297BA8"/>
    <w:rsid w:val="002A28A6"/>
    <w:rsid w:val="002B1012"/>
    <w:rsid w:val="002B4DE9"/>
    <w:rsid w:val="002B7F74"/>
    <w:rsid w:val="002C14FF"/>
    <w:rsid w:val="002C26CD"/>
    <w:rsid w:val="002C36EB"/>
    <w:rsid w:val="002C6B1F"/>
    <w:rsid w:val="002D367B"/>
    <w:rsid w:val="0030426A"/>
    <w:rsid w:val="00307F62"/>
    <w:rsid w:val="0031504D"/>
    <w:rsid w:val="00321829"/>
    <w:rsid w:val="00326628"/>
    <w:rsid w:val="003311A0"/>
    <w:rsid w:val="003323FD"/>
    <w:rsid w:val="00335F9A"/>
    <w:rsid w:val="00340078"/>
    <w:rsid w:val="003429B9"/>
    <w:rsid w:val="00351169"/>
    <w:rsid w:val="00371C8B"/>
    <w:rsid w:val="00380168"/>
    <w:rsid w:val="00393A73"/>
    <w:rsid w:val="003A14A4"/>
    <w:rsid w:val="003A1847"/>
    <w:rsid w:val="003B13C1"/>
    <w:rsid w:val="003C22CC"/>
    <w:rsid w:val="003C7685"/>
    <w:rsid w:val="003C7CDB"/>
    <w:rsid w:val="003D6AAF"/>
    <w:rsid w:val="00410E52"/>
    <w:rsid w:val="00423AF7"/>
    <w:rsid w:val="00433DB5"/>
    <w:rsid w:val="00452B3E"/>
    <w:rsid w:val="00471A65"/>
    <w:rsid w:val="00481E74"/>
    <w:rsid w:val="004852AE"/>
    <w:rsid w:val="00485A2F"/>
    <w:rsid w:val="004B745A"/>
    <w:rsid w:val="004B7D4B"/>
    <w:rsid w:val="004C13AF"/>
    <w:rsid w:val="004C1DDD"/>
    <w:rsid w:val="004C2A69"/>
    <w:rsid w:val="004C4D38"/>
    <w:rsid w:val="004C6879"/>
    <w:rsid w:val="004E73E3"/>
    <w:rsid w:val="004E7B6A"/>
    <w:rsid w:val="004F160B"/>
    <w:rsid w:val="004F5DC0"/>
    <w:rsid w:val="0051404C"/>
    <w:rsid w:val="00516A3C"/>
    <w:rsid w:val="00525196"/>
    <w:rsid w:val="00534F05"/>
    <w:rsid w:val="0054549C"/>
    <w:rsid w:val="005510E8"/>
    <w:rsid w:val="0056128E"/>
    <w:rsid w:val="00582074"/>
    <w:rsid w:val="005A11E2"/>
    <w:rsid w:val="005B32EE"/>
    <w:rsid w:val="005B5623"/>
    <w:rsid w:val="005C095A"/>
    <w:rsid w:val="005D2648"/>
    <w:rsid w:val="005D7B3D"/>
    <w:rsid w:val="00622661"/>
    <w:rsid w:val="0062512D"/>
    <w:rsid w:val="006278D4"/>
    <w:rsid w:val="00633122"/>
    <w:rsid w:val="00635258"/>
    <w:rsid w:val="006412AD"/>
    <w:rsid w:val="00650E1E"/>
    <w:rsid w:val="0066016E"/>
    <w:rsid w:val="006663C5"/>
    <w:rsid w:val="0066725A"/>
    <w:rsid w:val="00692BDD"/>
    <w:rsid w:val="00694852"/>
    <w:rsid w:val="006B4AE3"/>
    <w:rsid w:val="006C0FB7"/>
    <w:rsid w:val="006C19FB"/>
    <w:rsid w:val="006C5F43"/>
    <w:rsid w:val="006D08E5"/>
    <w:rsid w:val="006E5750"/>
    <w:rsid w:val="00702CDD"/>
    <w:rsid w:val="00706108"/>
    <w:rsid w:val="00743FE1"/>
    <w:rsid w:val="00752BFA"/>
    <w:rsid w:val="00774EEB"/>
    <w:rsid w:val="007814B9"/>
    <w:rsid w:val="007871A1"/>
    <w:rsid w:val="007A32D6"/>
    <w:rsid w:val="007A38D5"/>
    <w:rsid w:val="007B01AB"/>
    <w:rsid w:val="007C3FBA"/>
    <w:rsid w:val="007C7570"/>
    <w:rsid w:val="007D507D"/>
    <w:rsid w:val="007F1085"/>
    <w:rsid w:val="007F4691"/>
    <w:rsid w:val="007F64F2"/>
    <w:rsid w:val="008018F7"/>
    <w:rsid w:val="00803159"/>
    <w:rsid w:val="008070EF"/>
    <w:rsid w:val="00813173"/>
    <w:rsid w:val="00814C3D"/>
    <w:rsid w:val="00830408"/>
    <w:rsid w:val="00832373"/>
    <w:rsid w:val="00840B57"/>
    <w:rsid w:val="00846298"/>
    <w:rsid w:val="00847908"/>
    <w:rsid w:val="00873E93"/>
    <w:rsid w:val="00877DAB"/>
    <w:rsid w:val="00895E71"/>
    <w:rsid w:val="008A03FA"/>
    <w:rsid w:val="008A0720"/>
    <w:rsid w:val="008A3211"/>
    <w:rsid w:val="008A5342"/>
    <w:rsid w:val="008D1B34"/>
    <w:rsid w:val="008E59CC"/>
    <w:rsid w:val="008E5F3D"/>
    <w:rsid w:val="008F3DC2"/>
    <w:rsid w:val="009227C4"/>
    <w:rsid w:val="00935DCB"/>
    <w:rsid w:val="0094451C"/>
    <w:rsid w:val="0095246A"/>
    <w:rsid w:val="00953E91"/>
    <w:rsid w:val="00956B80"/>
    <w:rsid w:val="009865CA"/>
    <w:rsid w:val="00991408"/>
    <w:rsid w:val="00991D86"/>
    <w:rsid w:val="0099492C"/>
    <w:rsid w:val="009A2C58"/>
    <w:rsid w:val="009B28E8"/>
    <w:rsid w:val="009B365A"/>
    <w:rsid w:val="009C18A5"/>
    <w:rsid w:val="009C40E1"/>
    <w:rsid w:val="009D5F29"/>
    <w:rsid w:val="009D68D6"/>
    <w:rsid w:val="009E6876"/>
    <w:rsid w:val="00A01E2F"/>
    <w:rsid w:val="00A03939"/>
    <w:rsid w:val="00A03A37"/>
    <w:rsid w:val="00A14964"/>
    <w:rsid w:val="00A22125"/>
    <w:rsid w:val="00A22446"/>
    <w:rsid w:val="00A2268A"/>
    <w:rsid w:val="00A271AF"/>
    <w:rsid w:val="00A655D0"/>
    <w:rsid w:val="00A70E50"/>
    <w:rsid w:val="00A80D51"/>
    <w:rsid w:val="00A82D5A"/>
    <w:rsid w:val="00A865A5"/>
    <w:rsid w:val="00A86E1A"/>
    <w:rsid w:val="00A91186"/>
    <w:rsid w:val="00A954D1"/>
    <w:rsid w:val="00A97316"/>
    <w:rsid w:val="00AA3EB8"/>
    <w:rsid w:val="00AD0F88"/>
    <w:rsid w:val="00AD140B"/>
    <w:rsid w:val="00AD427B"/>
    <w:rsid w:val="00AF7503"/>
    <w:rsid w:val="00AF7F9B"/>
    <w:rsid w:val="00B00666"/>
    <w:rsid w:val="00B078CE"/>
    <w:rsid w:val="00B21554"/>
    <w:rsid w:val="00B271D5"/>
    <w:rsid w:val="00B3137C"/>
    <w:rsid w:val="00B32B74"/>
    <w:rsid w:val="00B35386"/>
    <w:rsid w:val="00B360F0"/>
    <w:rsid w:val="00B80A7D"/>
    <w:rsid w:val="00B831DD"/>
    <w:rsid w:val="00B84151"/>
    <w:rsid w:val="00B91DAF"/>
    <w:rsid w:val="00BA7959"/>
    <w:rsid w:val="00BB0A33"/>
    <w:rsid w:val="00BB0B8A"/>
    <w:rsid w:val="00BB1C45"/>
    <w:rsid w:val="00BB4A71"/>
    <w:rsid w:val="00BD7867"/>
    <w:rsid w:val="00BE003C"/>
    <w:rsid w:val="00BE5C65"/>
    <w:rsid w:val="00BE5CAB"/>
    <w:rsid w:val="00BF0D3D"/>
    <w:rsid w:val="00BF50DD"/>
    <w:rsid w:val="00C008DB"/>
    <w:rsid w:val="00C1062E"/>
    <w:rsid w:val="00C21865"/>
    <w:rsid w:val="00C22051"/>
    <w:rsid w:val="00C25725"/>
    <w:rsid w:val="00C45593"/>
    <w:rsid w:val="00C5388F"/>
    <w:rsid w:val="00C71DBF"/>
    <w:rsid w:val="00CB5CC1"/>
    <w:rsid w:val="00CC1A92"/>
    <w:rsid w:val="00CC2837"/>
    <w:rsid w:val="00CD57D4"/>
    <w:rsid w:val="00CE202C"/>
    <w:rsid w:val="00CE2352"/>
    <w:rsid w:val="00CE671D"/>
    <w:rsid w:val="00CE7835"/>
    <w:rsid w:val="00CF5A31"/>
    <w:rsid w:val="00D0388D"/>
    <w:rsid w:val="00D23AB5"/>
    <w:rsid w:val="00D273FA"/>
    <w:rsid w:val="00D27EF5"/>
    <w:rsid w:val="00D3188A"/>
    <w:rsid w:val="00D44782"/>
    <w:rsid w:val="00D45B17"/>
    <w:rsid w:val="00D664D8"/>
    <w:rsid w:val="00D804F8"/>
    <w:rsid w:val="00D81584"/>
    <w:rsid w:val="00D921E3"/>
    <w:rsid w:val="00D92EAC"/>
    <w:rsid w:val="00DB23CA"/>
    <w:rsid w:val="00DD1E38"/>
    <w:rsid w:val="00DE2C5B"/>
    <w:rsid w:val="00DF034C"/>
    <w:rsid w:val="00DF2894"/>
    <w:rsid w:val="00E02095"/>
    <w:rsid w:val="00E053FE"/>
    <w:rsid w:val="00E11EA1"/>
    <w:rsid w:val="00E16CF6"/>
    <w:rsid w:val="00E20C48"/>
    <w:rsid w:val="00E22C5C"/>
    <w:rsid w:val="00E33EE0"/>
    <w:rsid w:val="00E51FED"/>
    <w:rsid w:val="00E662E9"/>
    <w:rsid w:val="00E70A7B"/>
    <w:rsid w:val="00E7278C"/>
    <w:rsid w:val="00E7483C"/>
    <w:rsid w:val="00E74DD2"/>
    <w:rsid w:val="00E82CCB"/>
    <w:rsid w:val="00E85000"/>
    <w:rsid w:val="00E9105D"/>
    <w:rsid w:val="00E946BC"/>
    <w:rsid w:val="00EB05D0"/>
    <w:rsid w:val="00EB1308"/>
    <w:rsid w:val="00EC13E4"/>
    <w:rsid w:val="00EC586C"/>
    <w:rsid w:val="00EE71B7"/>
    <w:rsid w:val="00F007B6"/>
    <w:rsid w:val="00F030C7"/>
    <w:rsid w:val="00F04D95"/>
    <w:rsid w:val="00F11D82"/>
    <w:rsid w:val="00F223E3"/>
    <w:rsid w:val="00F4109B"/>
    <w:rsid w:val="00F42453"/>
    <w:rsid w:val="00F4590B"/>
    <w:rsid w:val="00F464B2"/>
    <w:rsid w:val="00F51CB9"/>
    <w:rsid w:val="00F53E62"/>
    <w:rsid w:val="00F725CE"/>
    <w:rsid w:val="00F73887"/>
    <w:rsid w:val="00F749AD"/>
    <w:rsid w:val="00FA0ACB"/>
    <w:rsid w:val="00FC018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  <w:style w:type="character" w:styleId="af3">
    <w:name w:val="Emphasis"/>
    <w:basedOn w:val="a0"/>
    <w:uiPriority w:val="20"/>
    <w:qFormat/>
    <w:rsid w:val="00C00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  <w:style w:type="character" w:styleId="af3">
    <w:name w:val="Emphasis"/>
    <w:basedOn w:val="a0"/>
    <w:uiPriority w:val="20"/>
    <w:qFormat/>
    <w:rsid w:val="00C0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268B-E483-4237-87D1-1A621308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195</cp:revision>
  <cp:lastPrinted>2023-01-16T07:48:00Z</cp:lastPrinted>
  <dcterms:created xsi:type="dcterms:W3CDTF">2019-05-06T05:55:00Z</dcterms:created>
  <dcterms:modified xsi:type="dcterms:W3CDTF">2023-09-27T05:58:00Z</dcterms:modified>
</cp:coreProperties>
</file>