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4F8A" w14:textId="1D973F1A" w:rsidR="00C007C7" w:rsidRPr="00BE1D13" w:rsidRDefault="00C007C7" w:rsidP="00563032">
      <w:pPr>
        <w:spacing w:line="500" w:lineRule="exact"/>
        <w:jc w:val="center"/>
        <w:rPr>
          <w:rFonts w:ascii="標楷體" w:eastAsia="標楷體" w:hAnsi="標楷體"/>
          <w:b/>
          <w:bCs/>
          <w:sz w:val="36"/>
          <w:szCs w:val="36"/>
        </w:rPr>
      </w:pPr>
      <w:r w:rsidRPr="00BE1D13">
        <w:rPr>
          <w:rFonts w:ascii="標楷體" w:eastAsia="標楷體" w:hAnsi="標楷體" w:hint="eastAsia"/>
          <w:b/>
          <w:bCs/>
          <w:sz w:val="36"/>
          <w:szCs w:val="36"/>
        </w:rPr>
        <w:t>長期照顧服務人員訓練認證繼續教育及登錄辦法部分條文修正草案條文對照表</w:t>
      </w:r>
    </w:p>
    <w:p w14:paraId="7DD7E217" w14:textId="77777777" w:rsidR="00253E07" w:rsidRDefault="00253E07" w:rsidP="00563032">
      <w:pPr>
        <w:spacing w:line="500" w:lineRule="exact"/>
        <w:jc w:val="right"/>
        <w:rPr>
          <w:rFonts w:ascii="標楷體" w:eastAsia="標楷體" w:hAnsi="標楷體"/>
          <w:b/>
          <w:bCs/>
          <w:sz w:val="28"/>
          <w:szCs w:val="28"/>
        </w:rPr>
      </w:pPr>
      <w:r w:rsidRPr="00253E07">
        <w:rPr>
          <w:rFonts w:ascii="標楷體" w:eastAsia="標楷體" w:hAnsi="標楷體" w:hint="eastAsia"/>
          <w:b/>
          <w:bCs/>
          <w:sz w:val="28"/>
          <w:szCs w:val="28"/>
        </w:rPr>
        <w:t>建議單位：中華民國醫師公會全國聯合會</w:t>
      </w:r>
    </w:p>
    <w:p w14:paraId="1D4E0D64" w14:textId="0ACA0CCE" w:rsidR="00253E07" w:rsidRPr="00BE1D13" w:rsidRDefault="00253E07" w:rsidP="00563032">
      <w:pPr>
        <w:spacing w:line="500" w:lineRule="exact"/>
        <w:jc w:val="right"/>
        <w:rPr>
          <w:rFonts w:ascii="標楷體" w:eastAsia="標楷體" w:hAnsi="標楷體"/>
          <w:b/>
          <w:bCs/>
          <w:sz w:val="18"/>
          <w:szCs w:val="16"/>
        </w:rPr>
      </w:pPr>
      <w:r w:rsidRPr="00BE1D13">
        <w:rPr>
          <w:rFonts w:ascii="標楷體" w:eastAsia="標楷體" w:hAnsi="標楷體" w:hint="eastAsia"/>
          <w:b/>
          <w:bCs/>
          <w:szCs w:val="24"/>
        </w:rPr>
        <w:t>1</w:t>
      </w:r>
      <w:r w:rsidRPr="00BE1D13">
        <w:rPr>
          <w:rFonts w:ascii="標楷體" w:eastAsia="標楷體" w:hAnsi="標楷體"/>
          <w:b/>
          <w:bCs/>
          <w:szCs w:val="24"/>
        </w:rPr>
        <w:t>10.3.</w:t>
      </w:r>
      <w:r w:rsidR="00BE1D13" w:rsidRPr="00BE1D13">
        <w:rPr>
          <w:rFonts w:ascii="標楷體" w:eastAsia="標楷體" w:hAnsi="標楷體" w:hint="eastAsia"/>
          <w:b/>
          <w:bCs/>
          <w:szCs w:val="24"/>
        </w:rPr>
        <w:t>4</w:t>
      </w:r>
      <w:r w:rsidRPr="00BE1D13">
        <w:rPr>
          <w:rFonts w:ascii="標楷體" w:eastAsia="標楷體" w:hAnsi="標楷體"/>
          <w:b/>
          <w:bCs/>
          <w:szCs w:val="24"/>
        </w:rPr>
        <w:t>.</w:t>
      </w:r>
    </w:p>
    <w:tbl>
      <w:tblPr>
        <w:tblStyle w:val="a3"/>
        <w:tblW w:w="14029" w:type="dxa"/>
        <w:tblLook w:val="04A0" w:firstRow="1" w:lastRow="0" w:firstColumn="1" w:lastColumn="0" w:noHBand="0" w:noVBand="1"/>
      </w:tblPr>
      <w:tblGrid>
        <w:gridCol w:w="3507"/>
        <w:gridCol w:w="3507"/>
        <w:gridCol w:w="3507"/>
        <w:gridCol w:w="3508"/>
      </w:tblGrid>
      <w:tr w:rsidR="00563032" w:rsidRPr="00563032" w14:paraId="386E06B7" w14:textId="4BF9027F" w:rsidTr="00563032">
        <w:trPr>
          <w:tblHeader/>
        </w:trPr>
        <w:tc>
          <w:tcPr>
            <w:tcW w:w="3507" w:type="dxa"/>
          </w:tcPr>
          <w:p w14:paraId="7DCC6663" w14:textId="5E507BC8" w:rsidR="00563032" w:rsidRPr="00563032" w:rsidRDefault="00563032" w:rsidP="00563032">
            <w:pPr>
              <w:jc w:val="center"/>
              <w:rPr>
                <w:rFonts w:ascii="標楷體" w:eastAsia="標楷體" w:hAnsi="標楷體" w:hint="eastAsia"/>
                <w:szCs w:val="24"/>
              </w:rPr>
            </w:pPr>
            <w:r w:rsidRPr="00563032">
              <w:rPr>
                <w:rFonts w:ascii="標楷體" w:eastAsia="標楷體" w:hAnsi="標楷體" w:hint="eastAsia"/>
                <w:szCs w:val="24"/>
              </w:rPr>
              <w:t>全聯會建議</w:t>
            </w:r>
            <w:r w:rsidR="009C7588">
              <w:rPr>
                <w:rFonts w:ascii="標楷體" w:eastAsia="標楷體" w:hAnsi="標楷體" w:hint="eastAsia"/>
                <w:szCs w:val="24"/>
              </w:rPr>
              <w:t>修正</w:t>
            </w:r>
            <w:r w:rsidR="00935EAF">
              <w:rPr>
                <w:rFonts w:ascii="標楷體" w:eastAsia="標楷體" w:hAnsi="標楷體" w:hint="eastAsia"/>
                <w:szCs w:val="24"/>
              </w:rPr>
              <w:t>條文</w:t>
            </w:r>
          </w:p>
        </w:tc>
        <w:tc>
          <w:tcPr>
            <w:tcW w:w="3507" w:type="dxa"/>
          </w:tcPr>
          <w:p w14:paraId="1674CC40" w14:textId="137BC9F0" w:rsidR="00563032" w:rsidRPr="00563032" w:rsidRDefault="009C7588" w:rsidP="00563032">
            <w:pPr>
              <w:jc w:val="center"/>
              <w:rPr>
                <w:rFonts w:ascii="標楷體" w:eastAsia="標楷體" w:hAnsi="標楷體"/>
                <w:szCs w:val="24"/>
              </w:rPr>
            </w:pPr>
            <w:r>
              <w:rPr>
                <w:rFonts w:ascii="標楷體" w:eastAsia="標楷體" w:hAnsi="標楷體" w:hint="eastAsia"/>
                <w:szCs w:val="24"/>
              </w:rPr>
              <w:t>衛福部公告預告</w:t>
            </w:r>
            <w:r w:rsidR="00563032" w:rsidRPr="00563032">
              <w:rPr>
                <w:rFonts w:ascii="標楷體" w:eastAsia="標楷體" w:hAnsi="標楷體" w:hint="eastAsia"/>
                <w:szCs w:val="24"/>
              </w:rPr>
              <w:t>修正條文</w:t>
            </w:r>
          </w:p>
        </w:tc>
        <w:tc>
          <w:tcPr>
            <w:tcW w:w="3507" w:type="dxa"/>
          </w:tcPr>
          <w:p w14:paraId="19CC672E" w14:textId="61308FB7" w:rsidR="00563032" w:rsidRPr="00563032" w:rsidRDefault="00563032" w:rsidP="00563032">
            <w:pPr>
              <w:jc w:val="center"/>
              <w:rPr>
                <w:rFonts w:ascii="標楷體" w:eastAsia="標楷體" w:hAnsi="標楷體"/>
                <w:szCs w:val="24"/>
              </w:rPr>
            </w:pPr>
            <w:r w:rsidRPr="00563032">
              <w:rPr>
                <w:rFonts w:ascii="標楷體" w:eastAsia="標楷體" w:hAnsi="標楷體" w:hint="eastAsia"/>
                <w:szCs w:val="24"/>
              </w:rPr>
              <w:t>現行條文</w:t>
            </w:r>
          </w:p>
        </w:tc>
        <w:tc>
          <w:tcPr>
            <w:tcW w:w="3508" w:type="dxa"/>
          </w:tcPr>
          <w:p w14:paraId="5AAA3708" w14:textId="2917EEB0" w:rsidR="00563032" w:rsidRPr="00563032" w:rsidRDefault="00563032" w:rsidP="00563032">
            <w:pPr>
              <w:jc w:val="center"/>
              <w:rPr>
                <w:rFonts w:ascii="標楷體" w:eastAsia="標楷體" w:hAnsi="標楷體"/>
                <w:szCs w:val="24"/>
              </w:rPr>
            </w:pPr>
            <w:r w:rsidRPr="00563032">
              <w:rPr>
                <w:rFonts w:ascii="標楷體" w:eastAsia="標楷體" w:hAnsi="標楷體" w:hint="eastAsia"/>
                <w:szCs w:val="24"/>
              </w:rPr>
              <w:t>說明</w:t>
            </w:r>
          </w:p>
        </w:tc>
      </w:tr>
      <w:tr w:rsidR="00563032" w:rsidRPr="00563032" w14:paraId="59175B44" w14:textId="2E48DF0D" w:rsidTr="00563032">
        <w:tc>
          <w:tcPr>
            <w:tcW w:w="3507" w:type="dxa"/>
          </w:tcPr>
          <w:p w14:paraId="60550EF5" w14:textId="77777777" w:rsidR="00563032" w:rsidRPr="00563032" w:rsidRDefault="00563032" w:rsidP="00563032">
            <w:pPr>
              <w:autoSpaceDE w:val="0"/>
              <w:autoSpaceDN w:val="0"/>
              <w:adjustRightInd w:val="0"/>
              <w:jc w:val="both"/>
              <w:rPr>
                <w:rFonts w:ascii="標楷體" w:eastAsia="標楷體" w:hAnsi="標楷體" w:cs="新細明體"/>
                <w:kern w:val="0"/>
                <w:szCs w:val="24"/>
              </w:rPr>
            </w:pPr>
            <w:r w:rsidRPr="00563032">
              <w:rPr>
                <w:rFonts w:ascii="標楷體" w:eastAsia="標楷體" w:hAnsi="標楷體" w:cs="標楷體" w:hint="eastAsia"/>
                <w:kern w:val="0"/>
                <w:szCs w:val="24"/>
              </w:rPr>
              <w:t>第九條長照人員應自認證證明文件生效日起，每六年接受下列課程，積分合計達一百二十點以上</w:t>
            </w:r>
            <w:r w:rsidRPr="00563032">
              <w:rPr>
                <w:rFonts w:ascii="標楷體" w:eastAsia="標楷體" w:hAnsi="標楷體" w:cs="新細明體" w:hint="eastAsia"/>
                <w:kern w:val="0"/>
                <w:szCs w:val="24"/>
              </w:rPr>
              <w:t>：</w:t>
            </w:r>
          </w:p>
          <w:p w14:paraId="3A2BC50A"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一、專業課程。</w:t>
            </w:r>
          </w:p>
          <w:p w14:paraId="3C32EA06"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二、專業品質。</w:t>
            </w:r>
          </w:p>
          <w:p w14:paraId="0848B669"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三、專業倫理。</w:t>
            </w:r>
          </w:p>
          <w:p w14:paraId="688A7F88"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四、專業法規。</w:t>
            </w:r>
          </w:p>
          <w:p w14:paraId="244B76C0"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前項第二款至第四款繼續教育積分課程之分數，合計至少</w:t>
            </w:r>
            <w:r w:rsidRPr="00563032">
              <w:rPr>
                <w:rFonts w:ascii="標楷體" w:eastAsia="標楷體" w:hAnsi="標楷體" w:hint="eastAsia"/>
                <w:b/>
                <w:bCs/>
                <w:szCs w:val="24"/>
                <w:u w:val="single"/>
              </w:rPr>
              <w:t>十二</w:t>
            </w:r>
            <w:r w:rsidRPr="00563032">
              <w:rPr>
                <w:rFonts w:ascii="標楷體" w:eastAsia="標楷體" w:hAnsi="標楷體" w:hint="eastAsia"/>
                <w:szCs w:val="24"/>
              </w:rPr>
              <w:t>點，其中應包括消防安全、緊急應變、</w:t>
            </w:r>
            <w:r w:rsidRPr="00563032">
              <w:rPr>
                <w:rFonts w:ascii="標楷體" w:eastAsia="標楷體" w:hAnsi="標楷體" w:hint="eastAsia"/>
                <w:b/>
                <w:bCs/>
                <w:szCs w:val="24"/>
                <w:u w:val="single"/>
              </w:rPr>
              <w:t>感染管制</w:t>
            </w:r>
            <w:r w:rsidRPr="00563032">
              <w:rPr>
                <w:rFonts w:ascii="標楷體" w:eastAsia="標楷體" w:hAnsi="標楷體" w:hint="eastAsia"/>
                <w:szCs w:val="24"/>
              </w:rPr>
              <w:t>、性別敏感度、多元族群文化之課程；超過</w:t>
            </w:r>
            <w:r w:rsidRPr="00563032">
              <w:rPr>
                <w:rFonts w:ascii="標楷體" w:eastAsia="標楷體" w:hAnsi="標楷體" w:hint="eastAsia"/>
                <w:b/>
                <w:bCs/>
                <w:szCs w:val="24"/>
                <w:u w:val="single"/>
              </w:rPr>
              <w:t>二十四</w:t>
            </w:r>
            <w:r w:rsidRPr="00563032">
              <w:rPr>
                <w:rFonts w:ascii="標楷體" w:eastAsia="標楷體" w:hAnsi="標楷體" w:hint="eastAsia"/>
                <w:szCs w:val="24"/>
              </w:rPr>
              <w:t>點者，以</w:t>
            </w:r>
            <w:r w:rsidRPr="00563032">
              <w:rPr>
                <w:rFonts w:ascii="標楷體" w:eastAsia="標楷體" w:hAnsi="標楷體" w:hint="eastAsia"/>
                <w:b/>
                <w:bCs/>
                <w:szCs w:val="24"/>
                <w:u w:val="single"/>
              </w:rPr>
              <w:t>二十四</w:t>
            </w:r>
            <w:r w:rsidRPr="00563032">
              <w:rPr>
                <w:rFonts w:ascii="標楷體" w:eastAsia="標楷體" w:hAnsi="標楷體" w:hint="eastAsia"/>
                <w:szCs w:val="24"/>
              </w:rPr>
              <w:t>點計。</w:t>
            </w:r>
          </w:p>
          <w:p w14:paraId="5E5C04BE" w14:textId="7E175E44"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第一項長照人員依各該專門職業人員法規接受繼續教育課程性質相近者，其積分得相互認定。</w:t>
            </w:r>
          </w:p>
        </w:tc>
        <w:tc>
          <w:tcPr>
            <w:tcW w:w="3507" w:type="dxa"/>
          </w:tcPr>
          <w:p w14:paraId="1F065425"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第九條長照人員應自認證證明文件生效日起，每六年接受下列課程，積分合計達一百二十點以上：</w:t>
            </w:r>
          </w:p>
          <w:p w14:paraId="50D6E229"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一、專業課程。</w:t>
            </w:r>
          </w:p>
          <w:p w14:paraId="5EAF2D1D"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二、專業品質。</w:t>
            </w:r>
          </w:p>
          <w:p w14:paraId="016292CC"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三、專業倫理。</w:t>
            </w:r>
          </w:p>
          <w:p w14:paraId="3DA646BE"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四、專業法規。</w:t>
            </w:r>
          </w:p>
          <w:p w14:paraId="2EF4CE6D" w14:textId="77777777"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前項第二款至第四款繼續教育積分課程之分數，合計至少</w:t>
            </w:r>
            <w:r w:rsidRPr="00563032">
              <w:rPr>
                <w:rFonts w:ascii="標楷體" w:eastAsia="標楷體" w:hAnsi="標楷體" w:hint="eastAsia"/>
                <w:b/>
                <w:bCs/>
                <w:szCs w:val="24"/>
                <w:u w:val="single"/>
              </w:rPr>
              <w:t>二十四</w:t>
            </w:r>
            <w:r w:rsidRPr="00563032">
              <w:rPr>
                <w:rFonts w:ascii="標楷體" w:eastAsia="標楷體" w:hAnsi="標楷體" w:hint="eastAsia"/>
                <w:szCs w:val="24"/>
              </w:rPr>
              <w:t>點，其中應包括消防安全、緊急應變、</w:t>
            </w:r>
            <w:r w:rsidRPr="00563032">
              <w:rPr>
                <w:rFonts w:ascii="標楷體" w:eastAsia="標楷體" w:hAnsi="標楷體" w:hint="eastAsia"/>
                <w:b/>
                <w:bCs/>
                <w:szCs w:val="24"/>
                <w:u w:val="single"/>
              </w:rPr>
              <w:t>感染管制</w:t>
            </w:r>
            <w:r w:rsidRPr="00563032">
              <w:rPr>
                <w:rFonts w:ascii="標楷體" w:eastAsia="標楷體" w:hAnsi="標楷體" w:hint="eastAsia"/>
                <w:szCs w:val="24"/>
              </w:rPr>
              <w:t>、性別敏感度</w:t>
            </w:r>
            <w:r w:rsidRPr="00563032">
              <w:rPr>
                <w:rFonts w:ascii="標楷體" w:eastAsia="標楷體" w:hAnsi="標楷體" w:hint="eastAsia"/>
                <w:b/>
                <w:bCs/>
                <w:szCs w:val="24"/>
                <w:u w:val="single"/>
              </w:rPr>
              <w:t>合計至少十點</w:t>
            </w:r>
            <w:r w:rsidRPr="00563032">
              <w:rPr>
                <w:rFonts w:ascii="標楷體" w:eastAsia="標楷體" w:hAnsi="標楷體" w:hint="eastAsia"/>
                <w:szCs w:val="24"/>
              </w:rPr>
              <w:t>，多元族群文化</w:t>
            </w:r>
            <w:r w:rsidRPr="00563032">
              <w:rPr>
                <w:rFonts w:ascii="標楷體" w:eastAsia="標楷體" w:hAnsi="標楷體" w:hint="eastAsia"/>
                <w:b/>
                <w:bCs/>
                <w:szCs w:val="24"/>
                <w:u w:val="single"/>
              </w:rPr>
              <w:t>至少十四點</w:t>
            </w:r>
            <w:r w:rsidRPr="00563032">
              <w:rPr>
                <w:rFonts w:ascii="標楷體" w:eastAsia="標楷體" w:hAnsi="標楷體" w:hint="eastAsia"/>
                <w:szCs w:val="24"/>
              </w:rPr>
              <w:t>之課程；超過</w:t>
            </w:r>
            <w:r w:rsidRPr="00563032">
              <w:rPr>
                <w:rFonts w:ascii="標楷體" w:eastAsia="標楷體" w:hAnsi="標楷體" w:hint="eastAsia"/>
                <w:b/>
                <w:bCs/>
                <w:szCs w:val="24"/>
                <w:u w:val="single"/>
              </w:rPr>
              <w:t>三十六</w:t>
            </w:r>
            <w:r w:rsidRPr="00563032">
              <w:rPr>
                <w:rFonts w:ascii="標楷體" w:eastAsia="標楷體" w:hAnsi="標楷體" w:hint="eastAsia"/>
                <w:szCs w:val="24"/>
              </w:rPr>
              <w:t>點者，以</w:t>
            </w:r>
            <w:r w:rsidRPr="00563032">
              <w:rPr>
                <w:rFonts w:ascii="標楷體" w:eastAsia="標楷體" w:hAnsi="標楷體" w:hint="eastAsia"/>
                <w:b/>
                <w:bCs/>
                <w:szCs w:val="24"/>
                <w:u w:val="single"/>
              </w:rPr>
              <w:t>三十六</w:t>
            </w:r>
            <w:r w:rsidRPr="00563032">
              <w:rPr>
                <w:rFonts w:ascii="標楷體" w:eastAsia="標楷體" w:hAnsi="標楷體" w:hint="eastAsia"/>
                <w:szCs w:val="24"/>
              </w:rPr>
              <w:t>點計。</w:t>
            </w:r>
          </w:p>
          <w:p w14:paraId="5B950241" w14:textId="00A00404" w:rsidR="00563032" w:rsidRPr="00563032" w:rsidRDefault="00563032" w:rsidP="00563032">
            <w:pPr>
              <w:jc w:val="both"/>
              <w:rPr>
                <w:rFonts w:ascii="標楷體" w:eastAsia="標楷體" w:hAnsi="標楷體"/>
                <w:szCs w:val="24"/>
              </w:rPr>
            </w:pPr>
            <w:r w:rsidRPr="00563032">
              <w:rPr>
                <w:rFonts w:ascii="標楷體" w:eastAsia="標楷體" w:hAnsi="標楷體" w:hint="eastAsia"/>
                <w:szCs w:val="24"/>
              </w:rPr>
              <w:t>第一項長照人員依各該專門職業人員法規接受繼續教育課程性質相近者，其積分得相互認定。</w:t>
            </w:r>
          </w:p>
        </w:tc>
        <w:tc>
          <w:tcPr>
            <w:tcW w:w="3507" w:type="dxa"/>
          </w:tcPr>
          <w:p w14:paraId="15C6CDD2" w14:textId="77777777" w:rsidR="00563032" w:rsidRPr="00563032" w:rsidRDefault="00563032" w:rsidP="00563032">
            <w:pPr>
              <w:autoSpaceDE w:val="0"/>
              <w:autoSpaceDN w:val="0"/>
              <w:adjustRightInd w:val="0"/>
              <w:jc w:val="both"/>
              <w:rPr>
                <w:rFonts w:ascii="標楷體" w:eastAsia="標楷體" w:hAnsi="標楷體" w:cs="新細明體"/>
                <w:kern w:val="0"/>
                <w:szCs w:val="24"/>
              </w:rPr>
            </w:pPr>
            <w:r w:rsidRPr="00563032">
              <w:rPr>
                <w:rFonts w:ascii="標楷體" w:eastAsia="標楷體" w:hAnsi="標楷體" w:cs="標楷體" w:hint="eastAsia"/>
                <w:kern w:val="0"/>
                <w:szCs w:val="24"/>
              </w:rPr>
              <w:t>第九條長照人員應自認證證明文件生效日起，每六年接受下列課程，積分合計達一百二十點以上</w:t>
            </w:r>
            <w:r w:rsidRPr="00563032">
              <w:rPr>
                <w:rFonts w:ascii="標楷體" w:eastAsia="標楷體" w:hAnsi="標楷體" w:cs="新細明體" w:hint="eastAsia"/>
                <w:kern w:val="0"/>
                <w:szCs w:val="24"/>
              </w:rPr>
              <w:t>：</w:t>
            </w:r>
          </w:p>
          <w:p w14:paraId="06D2A5E5"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一、專業課程。</w:t>
            </w:r>
          </w:p>
          <w:p w14:paraId="5A32EE6F"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二、專業品質。</w:t>
            </w:r>
          </w:p>
          <w:p w14:paraId="6EF20F45"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三、專業倫理。</w:t>
            </w:r>
          </w:p>
          <w:p w14:paraId="5740C4A6"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四、專業法規。</w:t>
            </w:r>
          </w:p>
          <w:p w14:paraId="6AC4F46F" w14:textId="77777777" w:rsidR="00563032" w:rsidRPr="00563032" w:rsidRDefault="00563032" w:rsidP="00563032">
            <w:pPr>
              <w:autoSpaceDE w:val="0"/>
              <w:autoSpaceDN w:val="0"/>
              <w:adjustRightInd w:val="0"/>
              <w:jc w:val="both"/>
              <w:rPr>
                <w:rFonts w:ascii="標楷體" w:eastAsia="標楷體" w:hAnsi="標楷體" w:cs="標楷體"/>
                <w:kern w:val="0"/>
                <w:szCs w:val="24"/>
              </w:rPr>
            </w:pPr>
            <w:r w:rsidRPr="00563032">
              <w:rPr>
                <w:rFonts w:ascii="標楷體" w:eastAsia="標楷體" w:hAnsi="標楷體" w:cs="標楷體" w:hint="eastAsia"/>
                <w:kern w:val="0"/>
                <w:szCs w:val="24"/>
              </w:rPr>
              <w:t>前項第二款至第四款繼續教育積分課程之分數，合計至少十二點，其中應包括消防安全、緊急應變、傳染病防治、性別敏感度及多元族群文化之課程；超過二十四點者，以二十四點計。</w:t>
            </w:r>
          </w:p>
          <w:p w14:paraId="7E846E72" w14:textId="20E24841" w:rsidR="00563032" w:rsidRPr="00563032" w:rsidRDefault="00563032" w:rsidP="00563032">
            <w:pPr>
              <w:jc w:val="both"/>
              <w:rPr>
                <w:rFonts w:ascii="標楷體" w:eastAsia="標楷體" w:hAnsi="標楷體"/>
                <w:szCs w:val="24"/>
              </w:rPr>
            </w:pPr>
            <w:r w:rsidRPr="00563032">
              <w:rPr>
                <w:rFonts w:ascii="標楷體" w:eastAsia="標楷體" w:hAnsi="標楷體" w:cs="標楷體" w:hint="eastAsia"/>
                <w:kern w:val="0"/>
                <w:szCs w:val="24"/>
              </w:rPr>
              <w:t>第一項長照人員依各該專門職業人員法規接受繼續教育課程性質相近者，其積分得相互認定。</w:t>
            </w:r>
          </w:p>
        </w:tc>
        <w:tc>
          <w:tcPr>
            <w:tcW w:w="3508" w:type="dxa"/>
          </w:tcPr>
          <w:p w14:paraId="162C976D" w14:textId="77777777" w:rsidR="00563032" w:rsidRPr="00563032" w:rsidRDefault="00563032" w:rsidP="00563032">
            <w:pPr>
              <w:pStyle w:val="a4"/>
              <w:numPr>
                <w:ilvl w:val="0"/>
                <w:numId w:val="2"/>
              </w:numPr>
              <w:autoSpaceDE w:val="0"/>
              <w:autoSpaceDN w:val="0"/>
              <w:adjustRightInd w:val="0"/>
              <w:ind w:leftChars="0"/>
              <w:jc w:val="both"/>
              <w:rPr>
                <w:rFonts w:ascii="標楷體" w:eastAsia="標楷體" w:hAnsi="標楷體" w:cs="標楷體"/>
                <w:kern w:val="0"/>
                <w:szCs w:val="24"/>
              </w:rPr>
            </w:pPr>
            <w:r w:rsidRPr="00563032">
              <w:rPr>
                <w:rFonts w:ascii="標楷體" w:eastAsia="標楷體" w:hAnsi="標楷體" w:cs="標楷體" w:hint="eastAsia"/>
                <w:kern w:val="0"/>
                <w:szCs w:val="24"/>
              </w:rPr>
              <w:t>有鑑於多元族群文化課程內容變化性不大，建議維持現行條文之積分數即可，惟可增列「感染管制」課程。</w:t>
            </w:r>
          </w:p>
          <w:p w14:paraId="47BA00FF" w14:textId="77777777" w:rsidR="00563032" w:rsidRPr="00563032" w:rsidRDefault="00563032" w:rsidP="00563032">
            <w:pPr>
              <w:pStyle w:val="a4"/>
              <w:numPr>
                <w:ilvl w:val="0"/>
                <w:numId w:val="2"/>
              </w:numPr>
              <w:autoSpaceDE w:val="0"/>
              <w:autoSpaceDN w:val="0"/>
              <w:adjustRightInd w:val="0"/>
              <w:ind w:leftChars="0"/>
              <w:jc w:val="both"/>
              <w:rPr>
                <w:rFonts w:ascii="標楷體" w:eastAsia="標楷體" w:hAnsi="標楷體" w:cs="標楷體"/>
                <w:kern w:val="0"/>
                <w:szCs w:val="24"/>
              </w:rPr>
            </w:pPr>
            <w:r w:rsidRPr="00563032">
              <w:rPr>
                <w:rFonts w:ascii="標楷體" w:eastAsia="標楷體" w:hAnsi="標楷體" w:cs="標楷體" w:hint="eastAsia"/>
                <w:kern w:val="0"/>
                <w:szCs w:val="24"/>
              </w:rPr>
              <w:t>建議可參考「醫事人員執業登記及繼續教育辦法」第1</w:t>
            </w:r>
            <w:r w:rsidRPr="00563032">
              <w:rPr>
                <w:rFonts w:ascii="標楷體" w:eastAsia="標楷體" w:hAnsi="標楷體" w:cs="標楷體"/>
                <w:kern w:val="0"/>
                <w:szCs w:val="24"/>
              </w:rPr>
              <w:t>3</w:t>
            </w:r>
            <w:r w:rsidRPr="00563032">
              <w:rPr>
                <w:rFonts w:ascii="標楷體" w:eastAsia="標楷體" w:hAnsi="標楷體" w:cs="標楷體" w:hint="eastAsia"/>
                <w:kern w:val="0"/>
                <w:szCs w:val="24"/>
              </w:rPr>
              <w:t>條第二項第二款第二目「前項第二款至第四款繼續教育課程之積分數，合計至少十二點，其中應包括感染管制及性別議題之課程；超過二十四點者，以二十四點計。</w:t>
            </w:r>
          </w:p>
          <w:p w14:paraId="6C904AEA" w14:textId="45C50CA8" w:rsidR="00563032" w:rsidRPr="00563032" w:rsidRDefault="00563032" w:rsidP="00035054">
            <w:pPr>
              <w:pStyle w:val="a4"/>
              <w:numPr>
                <w:ilvl w:val="0"/>
                <w:numId w:val="2"/>
              </w:numPr>
              <w:autoSpaceDE w:val="0"/>
              <w:autoSpaceDN w:val="0"/>
              <w:adjustRightInd w:val="0"/>
              <w:ind w:leftChars="0"/>
              <w:jc w:val="both"/>
              <w:rPr>
                <w:rFonts w:ascii="標楷體" w:eastAsia="標楷體" w:hAnsi="標楷體"/>
                <w:szCs w:val="24"/>
              </w:rPr>
            </w:pPr>
            <w:r w:rsidRPr="00563032">
              <w:rPr>
                <w:rFonts w:ascii="標楷體" w:eastAsia="標楷體" w:hAnsi="標楷體" w:cs="標楷體" w:hint="eastAsia"/>
                <w:kern w:val="0"/>
                <w:szCs w:val="24"/>
              </w:rPr>
              <w:t>醫事人員從事長期照護業務，其所需的專業知識與各類醫事人員繼續教育規定所需接受訓練之內容一致，不建議增加其他課程之時數。</w:t>
            </w:r>
          </w:p>
        </w:tc>
      </w:tr>
    </w:tbl>
    <w:p w14:paraId="5FAC6B23" w14:textId="77777777" w:rsidR="00C007C7" w:rsidRDefault="00C007C7" w:rsidP="00BE1D13"/>
    <w:sectPr w:rsidR="00C007C7" w:rsidSect="00BE1D13">
      <w:pgSz w:w="16838" w:h="11906" w:orient="landscape"/>
      <w:pgMar w:top="794"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78CB" w14:textId="77777777" w:rsidR="00C174FC" w:rsidRDefault="00C174FC" w:rsidP="00935EAF">
      <w:r>
        <w:separator/>
      </w:r>
    </w:p>
  </w:endnote>
  <w:endnote w:type="continuationSeparator" w:id="0">
    <w:p w14:paraId="2D384352" w14:textId="77777777" w:rsidR="00C174FC" w:rsidRDefault="00C174FC" w:rsidP="0093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D3E50" w14:textId="77777777" w:rsidR="00C174FC" w:rsidRDefault="00C174FC" w:rsidP="00935EAF">
      <w:r>
        <w:separator/>
      </w:r>
    </w:p>
  </w:footnote>
  <w:footnote w:type="continuationSeparator" w:id="0">
    <w:p w14:paraId="16EA0E67" w14:textId="77777777" w:rsidR="00C174FC" w:rsidRDefault="00C174FC" w:rsidP="0093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63B"/>
    <w:multiLevelType w:val="hybridMultilevel"/>
    <w:tmpl w:val="0FF812EE"/>
    <w:lvl w:ilvl="0" w:tplc="1450C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EE354E"/>
    <w:multiLevelType w:val="hybridMultilevel"/>
    <w:tmpl w:val="424A5D6E"/>
    <w:lvl w:ilvl="0" w:tplc="CFF0B9F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C7"/>
    <w:rsid w:val="00035054"/>
    <w:rsid w:val="000E45BE"/>
    <w:rsid w:val="00122196"/>
    <w:rsid w:val="00253E07"/>
    <w:rsid w:val="002E03C9"/>
    <w:rsid w:val="003F7007"/>
    <w:rsid w:val="00563032"/>
    <w:rsid w:val="00935EAF"/>
    <w:rsid w:val="009C7588"/>
    <w:rsid w:val="00B83F79"/>
    <w:rsid w:val="00BE1D13"/>
    <w:rsid w:val="00C007C7"/>
    <w:rsid w:val="00C174FC"/>
    <w:rsid w:val="00C727B3"/>
    <w:rsid w:val="00CC75C9"/>
    <w:rsid w:val="00E7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A417"/>
  <w15:chartTrackingRefBased/>
  <w15:docId w15:val="{54B60F3A-5DA9-43B8-8126-E16874B9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7C7"/>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253E07"/>
    <w:pPr>
      <w:ind w:leftChars="200" w:left="480"/>
    </w:pPr>
  </w:style>
  <w:style w:type="paragraph" w:styleId="a5">
    <w:name w:val="header"/>
    <w:basedOn w:val="a"/>
    <w:link w:val="a6"/>
    <w:uiPriority w:val="99"/>
    <w:unhideWhenUsed/>
    <w:rsid w:val="00935EAF"/>
    <w:pPr>
      <w:tabs>
        <w:tab w:val="center" w:pos="4153"/>
        <w:tab w:val="right" w:pos="8306"/>
      </w:tabs>
      <w:snapToGrid w:val="0"/>
    </w:pPr>
    <w:rPr>
      <w:sz w:val="20"/>
      <w:szCs w:val="20"/>
    </w:rPr>
  </w:style>
  <w:style w:type="character" w:customStyle="1" w:styleId="a6">
    <w:name w:val="頁首 字元"/>
    <w:basedOn w:val="a0"/>
    <w:link w:val="a5"/>
    <w:uiPriority w:val="99"/>
    <w:rsid w:val="00935EAF"/>
    <w:rPr>
      <w:sz w:val="20"/>
      <w:szCs w:val="20"/>
    </w:rPr>
  </w:style>
  <w:style w:type="paragraph" w:styleId="a7">
    <w:name w:val="footer"/>
    <w:basedOn w:val="a"/>
    <w:link w:val="a8"/>
    <w:uiPriority w:val="99"/>
    <w:unhideWhenUsed/>
    <w:rsid w:val="00935EAF"/>
    <w:pPr>
      <w:tabs>
        <w:tab w:val="center" w:pos="4153"/>
        <w:tab w:val="right" w:pos="8306"/>
      </w:tabs>
      <w:snapToGrid w:val="0"/>
    </w:pPr>
    <w:rPr>
      <w:sz w:val="20"/>
      <w:szCs w:val="20"/>
    </w:rPr>
  </w:style>
  <w:style w:type="character" w:customStyle="1" w:styleId="a8">
    <w:name w:val="頁尾 字元"/>
    <w:basedOn w:val="a0"/>
    <w:link w:val="a7"/>
    <w:uiPriority w:val="99"/>
    <w:rsid w:val="00935E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陳 威利</cp:lastModifiedBy>
  <cp:revision>5</cp:revision>
  <cp:lastPrinted>2021-03-03T01:00:00Z</cp:lastPrinted>
  <dcterms:created xsi:type="dcterms:W3CDTF">2021-03-03T00:52:00Z</dcterms:created>
  <dcterms:modified xsi:type="dcterms:W3CDTF">2021-03-03T03:42:00Z</dcterms:modified>
</cp:coreProperties>
</file>