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6244B0" w:rsidP="00713AA2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sz w:val="36"/>
                <w:szCs w:val="36"/>
              </w:rPr>
              <w:t>E</w:t>
            </w:r>
            <w:r w:rsidRPr="00281EE1">
              <w:rPr>
                <w:rFonts w:ascii="Times New Roman" w:eastAsia="標楷體" w:hAnsi="Times New Roman" w:cs="Times New Roman"/>
                <w:sz w:val="36"/>
                <w:szCs w:val="36"/>
              </w:rPr>
              <w:t>rythromycin</w:t>
            </w:r>
            <w:r w:rsidR="00C44D7D">
              <w:rPr>
                <w:rFonts w:ascii="Times New Roman" w:eastAsia="標楷體" w:hAnsi="Times New Roman" w:cs="Times New Roman"/>
                <w:sz w:val="36"/>
                <w:szCs w:val="36"/>
              </w:rPr>
              <w:t>成分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406830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E66EA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110</w:t>
            </w:r>
            <w:r w:rsidR="00E66EA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年</w:t>
            </w:r>
            <w:r w:rsidR="00791BB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2</w:t>
            </w:r>
            <w:bookmarkStart w:id="0" w:name="_GoBack"/>
            <w:bookmarkEnd w:id="0"/>
            <w:r w:rsidR="00E66EA8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月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406830" w:rsidP="00D611D8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06830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Erythromycin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406830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e</w:t>
            </w:r>
            <w:r w:rsidR="00406830" w:rsidRPr="00406830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rythromycin</w:t>
            </w:r>
            <w:r w:rsidR="009E6D2C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成分</w:t>
            </w:r>
            <w:r w:rsidR="003B2755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EE7E67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6</w:t>
            </w:r>
            <w:r w:rsidR="00DD211F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8</w:t>
            </w:r>
            <w:r w:rsidR="003218BB" w:rsidRPr="00FA4ADA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</w:t>
            </w:r>
            <w:r w:rsidR="00EB2DEC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r w:rsidR="00972FA2">
              <w:fldChar w:fldCharType="begin"/>
            </w:r>
            <w:r w:rsidR="00972FA2">
              <w:instrText xml:space="preserve"> HYPERLINK "https://www.fda.gov.tw/mlms/H0001.aspx" </w:instrText>
            </w:r>
            <w:r w:rsidR="00972FA2">
              <w:fldChar w:fldCharType="separate"/>
            </w:r>
            <w:r w:rsidR="0057091D" w:rsidRPr="00617BC2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t>https://www.fda.gov.tw/mlms/H0001.aspx</w:t>
            </w:r>
            <w:r w:rsidR="00972FA2">
              <w:rPr>
                <w:rStyle w:val="ab"/>
                <w:rFonts w:ascii="Times New Roman" w:eastAsia="標楷體" w:hAnsi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8C2742" w:rsidRPr="00617BC2" w:rsidRDefault="00406830" w:rsidP="00DE353D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068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葡萄球菌感染症、鏈球菌感染症、肺炎雙球菌感染症、</w:t>
            </w:r>
            <w:proofErr w:type="gramStart"/>
            <w:r w:rsidRPr="004068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淋菌感染</w:t>
            </w:r>
            <w:proofErr w:type="gramEnd"/>
            <w:r w:rsidRPr="004068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症、軟性下疳、梅毒及一般</w:t>
            </w:r>
            <w:proofErr w:type="gramStart"/>
            <w:r w:rsidRPr="004068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紅絲</w:t>
            </w:r>
            <w:proofErr w:type="gramEnd"/>
            <w:r w:rsidRPr="0040683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菌素感受性菌引起之感染症</w:t>
            </w:r>
            <w:r w:rsidR="0032185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6D6A09" w:rsidRPr="00377949" w:rsidRDefault="0041465F" w:rsidP="0037794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377949">
              <w:rPr>
                <w:rFonts w:ascii="Times New Roman" w:eastAsia="標楷體" w:hAnsi="Times New Roman" w:hint="eastAsia"/>
                <w:szCs w:val="24"/>
              </w:rPr>
              <w:t>Erythromycin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主要</w:t>
            </w:r>
            <w:proofErr w:type="gramStart"/>
            <w:r w:rsidR="00A374BC">
              <w:rPr>
                <w:rFonts w:ascii="Times New Roman" w:eastAsia="標楷體" w:hAnsi="Times New Roman" w:hint="eastAsia"/>
                <w:szCs w:val="24"/>
              </w:rPr>
              <w:t>是制菌作用</w:t>
            </w:r>
            <w:proofErr w:type="gramEnd"/>
            <w:r w:rsidR="00A374BC">
              <w:rPr>
                <w:rFonts w:ascii="Times New Roman" w:eastAsia="標楷體" w:hAnsi="Times New Roman" w:hint="eastAsia"/>
                <w:szCs w:val="24"/>
              </w:rPr>
              <w:t>，會與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R</w:t>
            </w:r>
            <w:r w:rsidR="00A374BC">
              <w:rPr>
                <w:rFonts w:ascii="Times New Roman" w:eastAsia="標楷體" w:hAnsi="Times New Roman"/>
                <w:szCs w:val="24"/>
              </w:rPr>
              <w:t>ibosomal RNA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發生作用，因而使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P</w:t>
            </w:r>
            <w:r w:rsidR="00A374BC">
              <w:rPr>
                <w:rFonts w:ascii="Times New Roman" w:eastAsia="標楷體" w:hAnsi="Times New Roman"/>
                <w:szCs w:val="24"/>
              </w:rPr>
              <w:t>henylalanine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分子無法進入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R</w:t>
            </w:r>
            <w:r w:rsidR="00A374BC">
              <w:rPr>
                <w:rFonts w:ascii="Times New Roman" w:eastAsia="標楷體" w:hAnsi="Times New Roman"/>
                <w:szCs w:val="24"/>
              </w:rPr>
              <w:t>ibosomal RNA</w:t>
            </w:r>
            <w:r w:rsidR="00A374BC">
              <w:rPr>
                <w:rFonts w:ascii="Times New Roman" w:eastAsia="標楷體" w:hAnsi="Times New Roman" w:hint="eastAsia"/>
                <w:szCs w:val="24"/>
              </w:rPr>
              <w:t>，細菌細胞內之蛋白合成受阻而發揮療效</w:t>
            </w:r>
            <w:r w:rsidR="00377949" w:rsidRPr="00377949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7D65EC" w:rsidRDefault="00EA4D0E" w:rsidP="00DE353D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2020/1</w:t>
            </w:r>
            <w:r w:rsidR="00DE353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</w:t>
            </w:r>
            <w:r w:rsidR="003C3490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/</w:t>
            </w:r>
            <w:r w:rsidR="004D461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</w:t>
            </w:r>
            <w:r w:rsidR="00DE353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7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醫藥管理局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A1A6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 w:rsidR="006D517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6D517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285AB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安全資訊，</w:t>
            </w:r>
            <w:r w:rsidR="0032185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321850">
              <w:rPr>
                <w:rFonts w:ascii="Times New Roman" w:eastAsia="標楷體" w:hAnsi="Times New Roman"/>
                <w:color w:val="000000" w:themeColor="text1"/>
                <w:szCs w:val="24"/>
              </w:rPr>
              <w:t>e</w:t>
            </w:r>
            <w:r w:rsidR="00321850" w:rsidRPr="00406830">
              <w:rPr>
                <w:rFonts w:ascii="Times New Roman" w:eastAsia="標楷體" w:hAnsi="Times New Roman"/>
                <w:color w:val="000000" w:themeColor="text1"/>
                <w:szCs w:val="24"/>
              </w:rPr>
              <w:t>rythromycin</w:t>
            </w:r>
            <w:r w:rsidR="00321850">
              <w:rPr>
                <w:rFonts w:ascii="Times New Roman" w:eastAsia="標楷體" w:hAnsi="Times New Roman"/>
                <w:color w:val="000000" w:themeColor="text1"/>
                <w:szCs w:val="24"/>
              </w:rPr>
              <w:t>成分</w:t>
            </w:r>
            <w:r w:rsidR="0032185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藥品</w:t>
            </w:r>
            <w:r w:rsidR="00521DF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</w:t>
            </w:r>
            <w:r w:rsidR="00521DF9"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QT</w:t>
            </w:r>
            <w:r w:rsidR="00521DF9"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間隔延長</w:t>
            </w:r>
            <w:r w:rsidR="003837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</w:t>
            </w:r>
            <w:proofErr w:type="gramStart"/>
            <w:r w:rsidR="003837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3837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用口服抗凝血劑之交互作用</w:t>
            </w:r>
            <w:r w:rsidR="00521DF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</w:t>
            </w:r>
            <w:r w:rsidR="00521DF9"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</w:t>
            </w:r>
            <w:r w:rsidR="00521DF9"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(infantile hypertrophic pyloric stenosis)</w:t>
            </w:r>
            <w:r w:rsidR="00285AB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 w:rsidR="00285AB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擬修訂仿單以加強</w:t>
            </w:r>
            <w:r w:rsidR="0038370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警示</w:t>
            </w:r>
            <w:r w:rsid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上述風險資訊</w:t>
            </w:r>
            <w:r w:rsidR="007D65EC" w:rsidRPr="00D21CD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</w:p>
          <w:p w:rsidR="005A1A68" w:rsidRDefault="00280F43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F19E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</w:p>
          <w:p w:rsidR="00DE353D" w:rsidRDefault="00146769" w:rsidP="00EA4D0E">
            <w:pPr>
              <w:widowControl/>
              <w:shd w:val="clear" w:color="auto" w:fill="FFFFFF"/>
              <w:rPr>
                <w:rStyle w:val="ab"/>
                <w:rFonts w:ascii="Times New Roman" w:eastAsia="標楷體" w:hAnsi="Times New Roman"/>
                <w:kern w:val="0"/>
                <w:szCs w:val="24"/>
              </w:rPr>
            </w:pPr>
            <w:hyperlink r:id="rId8" w:history="1">
              <w:r w:rsidR="005A1A68" w:rsidRPr="00D83739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https://www.gov.uk/drug-safety-update/erythromycin-caution-required-due-to-cardiac-risks-qt-interval-prolongation-drug-interaction-with-rivaroxaban</w:t>
              </w:r>
            </w:hyperlink>
          </w:p>
          <w:p w:rsidR="005A1A68" w:rsidRPr="005A1A68" w:rsidRDefault="00146769" w:rsidP="00EA4D0E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kern w:val="0"/>
                <w:szCs w:val="24"/>
                <w:u w:val="single"/>
              </w:rPr>
            </w:pPr>
            <w:hyperlink r:id="rId9" w:history="1">
              <w:r w:rsidR="005A1A68" w:rsidRPr="005A1A68">
                <w:rPr>
                  <w:rStyle w:val="ab"/>
                  <w:rFonts w:ascii="Times New Roman" w:eastAsia="標楷體" w:hAnsi="Times New Roman"/>
                  <w:kern w:val="0"/>
                  <w:szCs w:val="24"/>
                </w:rPr>
                <w:t>https://www.gov.uk/drug-safety-update/erythromycin-update-on-known-risk-of-infantile-hypertrophic-pyloric-stenosis</w:t>
              </w:r>
            </w:hyperlink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337A58" w:rsidRPr="004062C8" w:rsidRDefault="004217BD" w:rsidP="004062C8">
            <w:pPr>
              <w:pStyle w:val="a9"/>
              <w:widowControl/>
              <w:numPr>
                <w:ilvl w:val="0"/>
                <w:numId w:val="4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</w:rPr>
              <w:t>心臟毒性</w:t>
            </w:r>
          </w:p>
          <w:p w:rsidR="00A16382" w:rsidRDefault="00D2619C" w:rsidP="005D6ADF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一份</w:t>
            </w:r>
            <w:r w:rsidR="001F1B3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歐洲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</w:t>
            </w:r>
            <w:r w:rsidR="001F1B3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安全性</w:t>
            </w:r>
            <w:r w:rsidR="00ED13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數據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評估報告指出</w:t>
            </w:r>
            <w:r w:rsidR="001F1B3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="00ED13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巨環類</w:t>
            </w:r>
            <w:proofErr w:type="gramEnd"/>
            <w:r w:rsidR="00ED13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抗生素會增加心臟毒性風險，特別是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ED130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。</w:t>
            </w:r>
            <w:r w:rsidR="005D6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藥品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不良反應</w:t>
            </w:r>
            <w:r w:rsidR="00D74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資料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及</w:t>
            </w:r>
            <w:r w:rsidR="005D6AD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已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發表的文獻皆顯示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該成分藥品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與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增加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心臟不良反應</w:t>
            </w:r>
            <w:r w:rsidR="00D74CE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之短期</w:t>
            </w:r>
            <w:r w:rsidR="006323D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風險有關。</w:t>
            </w:r>
          </w:p>
          <w:p w:rsidR="000B6DCA" w:rsidRPr="009864B3" w:rsidRDefault="003B5896" w:rsidP="009864B3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依據上述資料，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英國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MHRA</w:t>
            </w:r>
            <w:r w:rsidR="009864B3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將比照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F30E1E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clarithromycin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9864B3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仿單修訂含</w:t>
            </w:r>
            <w:r w:rsidR="009864B3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erythromycin</w:t>
            </w:r>
            <w:r w:rsidR="009864B3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成分藥品仿單</w:t>
            </w:r>
            <w:r w:rsidR="009864B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，增加</w:t>
            </w:r>
            <w:r w:rsidR="006323D7" w:rsidRPr="009864B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QT</w:t>
            </w:r>
            <w:r w:rsidR="006323D7" w:rsidRPr="009864B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間隔延長</w:t>
            </w:r>
            <w:r w:rsidR="00FD58DA" w:rsidRPr="009864B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與致命性心律不整</w:t>
            </w:r>
            <w:r w:rsidR="005354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  <w:r w:rsidR="006323D7" w:rsidRPr="009864B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警語</w:t>
            </w:r>
            <w:r w:rsidR="000B6DCA" w:rsidRPr="009864B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D2619C" w:rsidRPr="009864B3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包含：</w:t>
            </w:r>
          </w:p>
          <w:p w:rsidR="000B6DCA" w:rsidRPr="00934759" w:rsidRDefault="0085341B" w:rsidP="00FD58DA">
            <w:pPr>
              <w:pStyle w:val="a9"/>
              <w:widowControl/>
              <w:numPr>
                <w:ilvl w:val="1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於</w:t>
            </w:r>
            <w:r w:rsidR="009864B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「</w:t>
            </w:r>
            <w:r w:rsidR="00196E13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禁忌症</w:t>
            </w:r>
            <w:r w:rsidR="009864B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」加</w:t>
            </w:r>
            <w:proofErr w:type="gramStart"/>
            <w:r w:rsidR="009864B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註</w:t>
            </w:r>
            <w:proofErr w:type="gramEnd"/>
            <w:r w:rsidR="009D064E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「</w:t>
            </w:r>
            <w:r w:rsidR="00D74CEE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具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QT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間隔延長與</w:t>
            </w:r>
            <w:r w:rsidR="00FD58D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心律不整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 w:rsidR="00D74CEE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因子的病人</w:t>
            </w:r>
            <w:r w:rsidR="00E3345B" w:rsidRPr="0093475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，包括具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QT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間隔延長或心室性</w:t>
            </w:r>
            <w:r w:rsidR="00FD58D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心律</w:t>
            </w:r>
            <w:proofErr w:type="gramStart"/>
            <w:r w:rsidR="00FD58D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不整</w:t>
            </w:r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</w:t>
            </w:r>
            <w:proofErr w:type="gramEnd"/>
            <w:r w:rsidR="00E3345B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史</w:t>
            </w:r>
            <w:r w:rsidR="00F2024F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及具電解質失調之病人</w:t>
            </w:r>
            <w:r w:rsidR="009D064E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」</w:t>
            </w:r>
            <w:r w:rsidR="00F2024F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196E13" w:rsidRPr="00934759" w:rsidRDefault="00F2024F" w:rsidP="000B6DCA">
            <w:pPr>
              <w:pStyle w:val="a9"/>
              <w:widowControl/>
              <w:numPr>
                <w:ilvl w:val="1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</w:t>
            </w:r>
            <w:proofErr w:type="gramStart"/>
            <w:r w:rsidR="005354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註</w:t>
            </w:r>
            <w:proofErr w:type="gramEnd"/>
            <w:r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心臟</w:t>
            </w:r>
            <w:r w:rsidR="00196E13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事件</w:t>
            </w:r>
            <w:r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196E13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</w:t>
            </w:r>
            <w:r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風險因子之警語</w:t>
            </w:r>
            <w:r w:rsidR="005354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A33D3F" w:rsidRPr="00934759" w:rsidRDefault="0085341B" w:rsidP="000B6DCA">
            <w:pPr>
              <w:pStyle w:val="a9"/>
              <w:widowControl/>
              <w:numPr>
                <w:ilvl w:val="1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5354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「</w:t>
            </w:r>
            <w:r w:rsidR="009D064E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不良反應</w:t>
            </w:r>
            <w:r w:rsidR="005354EA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」</w:t>
            </w:r>
            <w:r w:rsidR="009D06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加</w:t>
            </w:r>
            <w:proofErr w:type="gramStart"/>
            <w:r w:rsidR="005354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註</w:t>
            </w:r>
            <w:proofErr w:type="gramEnd"/>
            <w:r w:rsidR="00B00C8D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「</w:t>
            </w:r>
            <w:proofErr w:type="gramStart"/>
            <w:r w:rsidR="009D06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心臟驟停</w:t>
            </w:r>
            <w:proofErr w:type="gramEnd"/>
            <w:r w:rsidR="009D06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及心室顫</w:t>
            </w:r>
            <w:r w:rsidR="00B93C1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動</w:t>
            </w:r>
            <w:r w:rsidR="00D2619C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D2619C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未知頻率</w:t>
            </w:r>
            <w:r w:rsidR="00D2619C" w:rsidRPr="0093475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B00C8D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」</w:t>
            </w:r>
            <w:r w:rsidR="00E66EA8">
              <w:rPr>
                <w:rFonts w:ascii="新細明體" w:hAnsi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C5373B" w:rsidRPr="003A5C15" w:rsidRDefault="00332876" w:rsidP="003A5C15">
            <w:pPr>
              <w:pStyle w:val="a9"/>
              <w:widowControl/>
              <w:numPr>
                <w:ilvl w:val="0"/>
                <w:numId w:val="46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bookmarkStart w:id="1" w:name="_Hlk62466156"/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clarithromycin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會抑制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CYP3A4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P-</w:t>
            </w:r>
            <w:proofErr w:type="spellStart"/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gp</w:t>
            </w:r>
            <w:proofErr w:type="spellEnd"/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，如</w:t>
            </w:r>
            <w:proofErr w:type="gramStart"/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用口服抗凝血劑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F30E1E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rivaroxaban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為例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，可能導致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F30E1E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rivaroxaban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51787B" w:rsidRP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血中濃度增加，導致出血風險增加</w:t>
            </w:r>
            <w:r w:rsid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，因此含</w:t>
            </w:r>
            <w:r w:rsidR="00BE7177" w:rsidRPr="00D2619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erythromycin</w:t>
            </w:r>
            <w:r w:rsidR="00BE7177" w:rsidRPr="00D2619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成分藥品仿單</w:t>
            </w:r>
            <w:r w:rsidR="009D064E" w:rsidRPr="00D2619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應包</w:t>
            </w:r>
            <w:r w:rsidR="001B402E" w:rsidRPr="00D2619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含</w:t>
            </w:r>
            <w:r w:rsidR="009D064E" w:rsidRPr="00D2619C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併用</w:t>
            </w:r>
            <w:r w:rsidR="009D064E" w:rsidRPr="00D2619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口服抗凝血劑</w:t>
            </w:r>
            <w:bookmarkEnd w:id="1"/>
            <w:r w:rsidR="001B402E" w:rsidRPr="00D2619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1787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交互作用等警語</w:t>
            </w:r>
            <w:r w:rsidR="00BE7177" w:rsidRPr="00D2619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337A58" w:rsidRPr="004062C8" w:rsidRDefault="00337A58" w:rsidP="004062C8">
            <w:pPr>
              <w:pStyle w:val="a9"/>
              <w:widowControl/>
              <w:numPr>
                <w:ilvl w:val="0"/>
                <w:numId w:val="4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4062C8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</w:rPr>
              <w:t>嬰兒肥厚性幽門狹窄</w:t>
            </w:r>
            <w:r w:rsidRPr="004062C8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</w:rPr>
              <w:t>(infantile hypertrophic pyloric stenosis)</w:t>
            </w:r>
          </w:p>
          <w:p w:rsidR="00E961F5" w:rsidRPr="003A5C15" w:rsidRDefault="00C574DB" w:rsidP="003A5C15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lastRenderedPageBreak/>
              <w:t>近期</w:t>
            </w:r>
            <w:r w:rsidR="003A5C1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亦有一份</w:t>
            </w: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歐洲</w:t>
            </w:r>
            <w:r w:rsidR="003A5C1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的安全性數據評估報告回顧文獻指出，</w:t>
            </w:r>
            <w:r w:rsidR="0074779B" w:rsidRPr="003A5C1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嬰兒暴露於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E961F5" w:rsidRPr="003A5C15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與</w:t>
            </w:r>
            <w:r w:rsidR="00227CA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發生</w:t>
            </w:r>
            <w:r w:rsidR="00E961F5" w:rsidRPr="003A5C1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嬰兒肥厚性幽門狹窄風險有關。</w:t>
            </w:r>
          </w:p>
          <w:p w:rsidR="003A1A07" w:rsidRPr="00706509" w:rsidRDefault="00357D94" w:rsidP="002556E6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雖然</w:t>
            </w:r>
            <w:proofErr w:type="gramStart"/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仿單已刊有</w:t>
            </w:r>
            <w:proofErr w:type="gramEnd"/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嬰兒肥厚性幽門狹窄風險，但經評估後，擬加強此類風險強度資訊，於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仿單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「</w:t>
            </w:r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警語及潛在不良反應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」</w:t>
            </w:r>
            <w:proofErr w:type="gramStart"/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處加刊相</w:t>
            </w:r>
            <w:proofErr w:type="gramEnd"/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關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警語</w:t>
            </w:r>
            <w:r w:rsidRPr="00357D9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2D5441" w:rsidRPr="00D62FC6" w:rsidRDefault="004217BD" w:rsidP="008E1C5F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嬰兒肥厚性幽門狹窄的特徵</w:t>
            </w:r>
            <w:proofErr w:type="gramStart"/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為胃與十二指腸間的</w:t>
            </w:r>
            <w:proofErr w:type="gramEnd"/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幽門肥大而導致狹窄。其</w:t>
            </w:r>
            <w:proofErr w:type="gramStart"/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癥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兆及</w:t>
            </w:r>
            <w:proofErr w:type="gramEnd"/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症狀可能包括嘔吐</w:t>
            </w:r>
            <w:r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有時為劇烈</w:t>
            </w:r>
            <w:r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及餵食後出現躁動</w:t>
            </w:r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通常利用幽門切開術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將幽門的肌肉壁切開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進行治療。</w:t>
            </w:r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一般認為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嬰兒肥厚性幽門狹窄之背景發生率</w:t>
            </w:r>
            <w:r w:rsidR="00FA4ADA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0.1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0.2%</w:t>
            </w:r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研究顯示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出生後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14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</w:t>
            </w:r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暴露於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1C0DBF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1C0DBF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05566D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發生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</w:t>
            </w:r>
            <w:r w:rsidR="0005566D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風險最高。</w:t>
            </w:r>
            <w:r w:rsidR="0005566D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現有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數據</w:t>
            </w:r>
            <w:r w:rsidR="00706509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指出</w:t>
            </w:r>
            <w:r w:rsidR="00CB1F9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年齡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小於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14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天的嬰兒暴露於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該成分藥品，其</w:t>
            </w:r>
            <w:r w:rsidR="00D62FC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發生率為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2.6% (</w:t>
            </w:r>
            <w:r w:rsidR="002D544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95%</w:t>
            </w:r>
            <w:r w:rsidR="002D544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信賴區間：</w:t>
            </w:r>
            <w:r w:rsidR="002D544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1.5 -</w:t>
            </w:r>
            <w:r w:rsidR="00FC3EC0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 xml:space="preserve"> </w:t>
            </w:r>
            <w:r w:rsidR="002D544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4.2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2D544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總體而言，</w:t>
            </w:r>
            <w:r w:rsidR="002D544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嬰兒暴露於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9E2EE7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後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9E2EE7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發生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嬰兒肥厚性幽門狹窄的風險</w:t>
            </w:r>
            <w:r w:rsid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約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增加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至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</w:t>
            </w:r>
            <w:r w:rsidR="00C728B7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倍。</w:t>
            </w:r>
          </w:p>
          <w:p w:rsidR="004E33E0" w:rsidRPr="00E66EA8" w:rsidRDefault="00066BBA" w:rsidP="00E66EA8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然</w:t>
            </w:r>
            <w:r w:rsid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而，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B662D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可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被用於治療與</w:t>
            </w:r>
            <w:r w:rsid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顯著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死亡率或發病率</w:t>
            </w:r>
            <w:r w:rsidR="001B402E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相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關之疾病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例如：</w:t>
            </w:r>
            <w:proofErr w:type="gramStart"/>
            <w:r w:rsidR="007E582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百日咳或披衣</w:t>
            </w:r>
            <w:proofErr w:type="gramEnd"/>
            <w:r w:rsidR="007E582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菌</w:t>
            </w:r>
            <w:r w:rsidR="00B00C8D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感染</w:t>
            </w:r>
            <w:r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7E582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BB32FE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因此</w:t>
            </w:r>
            <w:r w:rsidR="007E582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處方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該成分藥品</w:t>
            </w:r>
            <w:r w:rsidR="007E5821" w:rsidRPr="00706509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予嬰兒前應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審慎評估其臨床效益及風險</w:t>
            </w:r>
            <w:r w:rsidR="007E5821" w:rsidRPr="0070650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E66EA8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E66EA8" w:rsidRPr="00617BC2" w:rsidRDefault="00E66EA8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16" w:type="dxa"/>
          </w:tcPr>
          <w:p w:rsidR="00E66EA8" w:rsidRPr="00E66EA8" w:rsidRDefault="00E66EA8" w:rsidP="00E66EA8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E66E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食品藥物管理署說明：</w:t>
            </w:r>
          </w:p>
          <w:p w:rsidR="00E66EA8" w:rsidRDefault="00E66EA8" w:rsidP="00E66EA8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經查，我國核准含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erythromycin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成分藥品許可證共</w:t>
            </w:r>
            <w:r w:rsidR="00332876">
              <w:rPr>
                <w:rFonts w:ascii="Times New Roman" w:eastAsia="標楷體" w:hAnsi="Times New Roman" w:cs="Times New Roman" w:hint="eastAsia"/>
                <w:color w:val="000000" w:themeColor="text1"/>
              </w:rPr>
              <w:t>68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張，惟其中文仿單未刊載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QT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間隔延長</w:t>
            </w:r>
            <w:r w:rsidR="0032185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致命性心律異常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及</w:t>
            </w:r>
            <w:r w:rsidRPr="00E66EA8">
              <w:rPr>
                <w:rFonts w:ascii="標楷體" w:eastAsia="標楷體" w:hAnsi="標楷體" w:hint="eastAsia"/>
                <w:bCs/>
              </w:rPr>
              <w:t>嬰兒肥厚性幽門狹窄</w:t>
            </w:r>
            <w:r w:rsidRPr="00E66EA8">
              <w:rPr>
                <w:rFonts w:ascii="Times New Roman" w:hAnsi="Times New Roman" w:cs="Times New Roman"/>
                <w:bCs/>
              </w:rPr>
              <w:t>(infantile hypertrophic pyloric stenosis)</w:t>
            </w:r>
            <w:r w:rsidRPr="00E66EA8">
              <w:rPr>
                <w:rFonts w:ascii="Times New Roman" w:eastAsia="標楷體" w:hAnsi="Times New Roman" w:cs="Times New Roman" w:hint="eastAsia"/>
                <w:color w:val="000000" w:themeColor="text1"/>
              </w:rPr>
              <w:t>等相關警訊。</w:t>
            </w:r>
          </w:p>
          <w:p w:rsidR="00E66EA8" w:rsidRPr="00E66EA8" w:rsidRDefault="00E66EA8" w:rsidP="00E66EA8">
            <w:pPr>
              <w:pStyle w:val="a9"/>
              <w:numPr>
                <w:ilvl w:val="0"/>
                <w:numId w:val="48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proofErr w:type="gramStart"/>
            <w:r w:rsidRPr="00E66EA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本署現</w:t>
            </w:r>
            <w:proofErr w:type="gramEnd"/>
            <w:r w:rsidRPr="00E66EA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正評估是否針對含該成分藥品採取進一步風險管控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措</w:t>
            </w:r>
            <w:r w:rsidRPr="00E66EA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施。</w:t>
            </w:r>
          </w:p>
          <w:p w:rsidR="00E66EA8" w:rsidRPr="00706509" w:rsidRDefault="00E66EA8" w:rsidP="00E66EA8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706509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706509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應注意事項：</w:t>
            </w:r>
          </w:p>
          <w:p w:rsidR="00E66EA8" w:rsidRPr="00B04776" w:rsidRDefault="00E66EA8" w:rsidP="00E66EA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6509">
              <w:rPr>
                <w:rFonts w:ascii="Times New Roman" w:eastAsia="標楷體" w:hAnsi="Times New Roman"/>
                <w:color w:val="000000" w:themeColor="text1"/>
                <w:szCs w:val="24"/>
              </w:rPr>
              <w:t>處方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332876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332876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Pr="00706509">
              <w:rPr>
                <w:rFonts w:ascii="Times New Roman" w:eastAsia="標楷體" w:hAnsi="Times New Roman"/>
                <w:color w:val="000000" w:themeColor="text1"/>
                <w:szCs w:val="24"/>
              </w:rPr>
              <w:t>予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下列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病人時</w:t>
            </w:r>
            <w:r w:rsidRPr="00B04776">
              <w:rPr>
                <w:rFonts w:ascii="Times New Roman" w:eastAsia="標楷體" w:hAnsi="Times New Roman"/>
                <w:color w:val="000000" w:themeColor="text1"/>
                <w:szCs w:val="24"/>
              </w:rPr>
              <w:t>，應考量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其</w:t>
            </w:r>
            <w:r w:rsidR="0033287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臨床</w:t>
            </w:r>
            <w:r w:rsidRPr="00B04776">
              <w:rPr>
                <w:rFonts w:ascii="Times New Roman" w:eastAsia="標楷體" w:hAnsi="Times New Roman"/>
                <w:color w:val="000000" w:themeColor="text1"/>
                <w:szCs w:val="24"/>
              </w:rPr>
              <w:t>效益與風險</w:t>
            </w:r>
            <w:r w:rsidR="0032185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  <w:p w:rsidR="00E66EA8" w:rsidRPr="00706509" w:rsidRDefault="00E66EA8" w:rsidP="00E66EA8">
            <w:pPr>
              <w:pStyle w:val="a9"/>
              <w:widowControl/>
              <w:numPr>
                <w:ilvl w:val="1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06509">
              <w:rPr>
                <w:rFonts w:ascii="Times New Roman" w:eastAsia="標楷體" w:hAnsi="Times New Roman"/>
                <w:color w:val="000000" w:themeColor="text1"/>
                <w:szCs w:val="24"/>
              </w:rPr>
              <w:t>具心臟疾病或心臟衰竭</w:t>
            </w:r>
            <w:r w:rsidR="00FE2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之病人。</w:t>
            </w:r>
          </w:p>
          <w:p w:rsidR="00E66EA8" w:rsidRDefault="00E66EA8" w:rsidP="00E66EA8">
            <w:pPr>
              <w:pStyle w:val="a9"/>
              <w:widowControl/>
              <w:numPr>
                <w:ilvl w:val="1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心臟傳導障礙或具臨床意義之心律徐緩情況</w:t>
            </w:r>
            <w:r w:rsidR="00FE2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之病人。</w:t>
            </w:r>
          </w:p>
          <w:p w:rsidR="00E66EA8" w:rsidRPr="00086512" w:rsidRDefault="00E66EA8" w:rsidP="00E66EA8">
            <w:pPr>
              <w:pStyle w:val="a9"/>
              <w:widowControl/>
              <w:numPr>
                <w:ilvl w:val="1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用其他與</w:t>
            </w:r>
            <w:r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QT</w:t>
            </w:r>
            <w:r w:rsidRPr="00521DF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間隔延長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相關藥品</w:t>
            </w:r>
            <w:r w:rsidR="00FE2B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之病人。</w:t>
            </w:r>
          </w:p>
          <w:p w:rsidR="00E66EA8" w:rsidRPr="0085341B" w:rsidRDefault="00332876" w:rsidP="00E66EA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szCs w:val="24"/>
              </w:rPr>
              <w:t>與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rivaroxaban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proofErr w:type="gramStart"/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proofErr w:type="gramEnd"/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用時，</w:t>
            </w:r>
            <w:r w:rsidRPr="0085341B">
              <w:rPr>
                <w:rFonts w:ascii="Times New Roman" w:eastAsia="標楷體" w:hAnsi="Times New Roman"/>
                <w:color w:val="000000" w:themeColor="text1"/>
                <w:szCs w:val="24"/>
              </w:rPr>
              <w:t>可能會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產生交互作用，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如需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併用直接</w:t>
            </w:r>
            <w:proofErr w:type="gramStart"/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作用型抗</w:t>
            </w:r>
            <w:proofErr w:type="gramEnd"/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凝血劑藥品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包含</w:t>
            </w:r>
            <w:r w:rsidR="00E66EA8" w:rsidRPr="008534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r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ivaroxaban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proofErr w:type="spellStart"/>
            <w:r w:rsidR="00E66EA8" w:rsidRPr="0085341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doxaban</w:t>
            </w:r>
            <w:proofErr w:type="spellEnd"/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、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dabigatran</w:t>
            </w:r>
            <w:r w:rsidR="00E66EA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及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apixaban)</w:t>
            </w:r>
            <w:r w:rsidR="00E66EA8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於處方前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考量其</w:t>
            </w:r>
            <w:r w:rsidR="00F30E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臨床效益及</w:t>
            </w:r>
            <w:r w:rsidR="00E66EA8" w:rsidRPr="0085341B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風險。</w:t>
            </w:r>
          </w:p>
          <w:p w:rsidR="00E66EA8" w:rsidRPr="00E82463" w:rsidRDefault="00E66EA8" w:rsidP="00E66EA8">
            <w:pPr>
              <w:pStyle w:val="a9"/>
              <w:widowControl/>
              <w:numPr>
                <w:ilvl w:val="0"/>
                <w:numId w:val="44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處方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</w:t>
            </w:r>
            <w:r w:rsidR="00167E81" w:rsidRPr="00D62FC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e</w:t>
            </w:r>
            <w:r w:rsidR="00167E81" w:rsidRPr="00D62FC6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rythromycin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成分藥品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予嬰兒時，應審慎評估其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臨床效益及風險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。</w:t>
            </w:r>
          </w:p>
          <w:p w:rsidR="00E66EA8" w:rsidRPr="00617BC2" w:rsidRDefault="00E66EA8" w:rsidP="00E66EA8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E66EA8" w:rsidRPr="0085341B" w:rsidRDefault="00E66EA8" w:rsidP="00E66EA8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就醫時，</w:t>
            </w:r>
            <w:r w:rsidRPr="00221223">
              <w:rPr>
                <w:rFonts w:ascii="Times New Roman" w:eastAsia="標楷體" w:hAnsi="Times New Roman" w:cs="Times New Roman"/>
                <w:color w:val="000000" w:themeColor="text1"/>
              </w:rPr>
              <w:t>請主動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告知自身疾病史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包含心臟相關疾病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01B73">
              <w:rPr>
                <w:rFonts w:ascii="Times New Roman" w:eastAsia="標楷體" w:hAnsi="Times New Roman" w:cs="Times New Roman"/>
                <w:color w:val="000000" w:themeColor="text1"/>
              </w:rPr>
              <w:t>及用藥史</w:t>
            </w:r>
            <w:r w:rsidRPr="0085341B">
              <w:rPr>
                <w:rFonts w:ascii="Times New Roman" w:eastAsia="標楷體" w:hAnsi="Times New Roman" w:cs="Times New Roman"/>
                <w:color w:val="000000" w:themeColor="text1"/>
              </w:rPr>
              <w:t>，醫師將進一步評估您的用藥。</w:t>
            </w:r>
          </w:p>
          <w:p w:rsidR="00E66EA8" w:rsidRPr="00FC3EC0" w:rsidRDefault="00E66EA8" w:rsidP="00E66EA8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A74E7">
              <w:rPr>
                <w:rFonts w:ascii="Times New Roman" w:eastAsia="標楷體" w:hAnsi="Times New Roman" w:cs="Times New Roman"/>
                <w:color w:val="000000" w:themeColor="text1"/>
              </w:rPr>
              <w:t>若您於使用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</w:rPr>
              <w:t>含</w:t>
            </w:r>
            <w:r w:rsidR="00167E81" w:rsidRPr="00D62FC6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="00167E81" w:rsidRPr="00D62FC6">
              <w:rPr>
                <w:rFonts w:ascii="Times New Roman" w:eastAsia="標楷體" w:hAnsi="Times New Roman"/>
                <w:color w:val="000000" w:themeColor="text1"/>
              </w:rPr>
              <w:t>rythromycin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</w:rPr>
              <w:t>成分藥品</w:t>
            </w:r>
            <w:r w:rsidRPr="009A74E7">
              <w:rPr>
                <w:rFonts w:ascii="Times New Roman" w:eastAsia="標楷體" w:hAnsi="Times New Roman"/>
                <w:color w:val="000000" w:themeColor="text1"/>
              </w:rPr>
              <w:t>期間出現心臟不適</w:t>
            </w:r>
            <w:r>
              <w:rPr>
                <w:rFonts w:ascii="Times New Roman" w:eastAsia="標楷體" w:hAnsi="Times New Roman"/>
                <w:color w:val="000000" w:themeColor="text1"/>
              </w:rPr>
              <w:t>或出血之症狀及</w:t>
            </w:r>
            <w:proofErr w:type="gramStart"/>
            <w:r>
              <w:rPr>
                <w:rFonts w:ascii="Times New Roman" w:eastAsia="標楷體" w:hAnsi="Times New Roman"/>
                <w:color w:val="000000" w:themeColor="text1"/>
              </w:rPr>
              <w:t>癥</w:t>
            </w:r>
            <w:proofErr w:type="gramEnd"/>
            <w:r>
              <w:rPr>
                <w:rFonts w:ascii="Times New Roman" w:eastAsia="標楷體" w:hAnsi="Times New Roman"/>
                <w:color w:val="000000" w:themeColor="text1"/>
              </w:rPr>
              <w:t>兆</w:t>
            </w:r>
            <w:r w:rsidRPr="009A74E7">
              <w:rPr>
                <w:rFonts w:ascii="Times New Roman" w:eastAsia="標楷體" w:hAnsi="Times New Roman"/>
                <w:color w:val="000000" w:themeColor="text1"/>
              </w:rPr>
              <w:t>，請盡速尋求醫療協助。</w:t>
            </w:r>
          </w:p>
          <w:p w:rsidR="00E66EA8" w:rsidRPr="009A74E7" w:rsidRDefault="00E66EA8" w:rsidP="00E66EA8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</w:rPr>
              <w:lastRenderedPageBreak/>
              <w:t>若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</w:rPr>
              <w:t>家中</w:t>
            </w:r>
            <w:r>
              <w:rPr>
                <w:rFonts w:ascii="Times New Roman" w:eastAsia="標楷體" w:hAnsi="Times New Roman"/>
                <w:color w:val="000000" w:themeColor="text1"/>
              </w:rPr>
              <w:t>嬰兒於</w:t>
            </w:r>
            <w:r w:rsidRPr="009A74E7">
              <w:rPr>
                <w:rFonts w:ascii="Times New Roman" w:eastAsia="標楷體" w:hAnsi="Times New Roman" w:cs="Times New Roman"/>
                <w:color w:val="000000" w:themeColor="text1"/>
              </w:rPr>
              <w:t>使用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</w:rPr>
              <w:t>含</w:t>
            </w:r>
            <w:r w:rsidR="00167E81" w:rsidRPr="00D62FC6">
              <w:rPr>
                <w:rFonts w:ascii="Times New Roman" w:eastAsia="標楷體" w:hAnsi="Times New Roman" w:hint="eastAsia"/>
                <w:color w:val="000000" w:themeColor="text1"/>
              </w:rPr>
              <w:t>e</w:t>
            </w:r>
            <w:r w:rsidR="00167E81" w:rsidRPr="00D62FC6">
              <w:rPr>
                <w:rFonts w:ascii="Times New Roman" w:eastAsia="標楷體" w:hAnsi="Times New Roman"/>
                <w:color w:val="000000" w:themeColor="text1"/>
              </w:rPr>
              <w:t>rythromycin</w:t>
            </w:r>
            <w:r w:rsidR="00167E81">
              <w:rPr>
                <w:rFonts w:ascii="Times New Roman" w:eastAsia="標楷體" w:hAnsi="Times New Roman" w:hint="eastAsia"/>
                <w:color w:val="000000" w:themeColor="text1"/>
              </w:rPr>
              <w:t>成分藥品</w:t>
            </w:r>
            <w:r w:rsidRPr="009A74E7">
              <w:rPr>
                <w:rFonts w:ascii="Times New Roman" w:eastAsia="標楷體" w:hAnsi="Times New Roman"/>
                <w:color w:val="000000" w:themeColor="text1"/>
              </w:rPr>
              <w:t>期間</w:t>
            </w:r>
            <w:r>
              <w:rPr>
                <w:rFonts w:ascii="Times New Roman" w:eastAsia="標楷體" w:hAnsi="Times New Roman"/>
                <w:color w:val="000000" w:themeColor="text1"/>
              </w:rPr>
              <w:t>出現嘔吐或於餵食時出現躁動情況，請盡速</w:t>
            </w:r>
            <w:r w:rsidRPr="009A74E7">
              <w:rPr>
                <w:rFonts w:ascii="Times New Roman" w:eastAsia="標楷體" w:hAnsi="Times New Roman"/>
                <w:color w:val="000000" w:themeColor="text1"/>
              </w:rPr>
              <w:t>尋求醫療協助。</w:t>
            </w:r>
          </w:p>
          <w:p w:rsidR="00E66EA8" w:rsidRPr="00D4291F" w:rsidRDefault="00E66EA8" w:rsidP="00E66EA8">
            <w:pPr>
              <w:pStyle w:val="Web"/>
              <w:numPr>
                <w:ilvl w:val="0"/>
                <w:numId w:val="45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D4291F">
              <w:rPr>
                <w:rFonts w:ascii="Times New Roman" w:eastAsia="標楷體" w:hAnsi="Times New Roman" w:cs="Times New Roman" w:hint="eastAsia"/>
                <w:color w:val="000000" w:themeColor="text1"/>
              </w:rPr>
              <w:t>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您</w:t>
            </w:r>
            <w:r w:rsidRPr="00D4291F">
              <w:rPr>
                <w:rFonts w:ascii="Times New Roman" w:eastAsia="標楷體" w:hAnsi="Times New Roman" w:cs="Times New Roman" w:hint="eastAsia"/>
                <w:color w:val="000000" w:themeColor="text1"/>
              </w:rPr>
              <w:t>對用藥有任何的疑問或疑慮，請諮詢醫療專業人員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。切勿於諮詢醫療專業人員前自行停藥</w:t>
            </w:r>
            <w:r w:rsidRPr="00D4291F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E66EA8" w:rsidRPr="00E66EA8" w:rsidRDefault="00E66EA8" w:rsidP="00E66EA8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醫療人員或病人懷疑因為使用（服用）藥品導致不良反應發生時，請立即通報給衛生</w:t>
            </w:r>
            <w:proofErr w:type="gramStart"/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福利部所建置</w:t>
            </w:r>
            <w:proofErr w:type="gramEnd"/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之全國藥物不良反應通報中心，並副知所屬廠商，藥物不良反應通報專線</w:t>
            </w:r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02-2396-0100</w:t>
            </w:r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，網站：</w:t>
            </w:r>
            <w:hyperlink r:id="rId10" w:history="1">
              <w:r w:rsidRPr="00E66EA8">
                <w:rPr>
                  <w:bCs/>
                  <w:color w:val="000000" w:themeColor="text1"/>
                </w:rPr>
                <w:t>https://adr.fda.gov.tw</w:t>
              </w:r>
            </w:hyperlink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；衛生福利部食品藥物管理署獲知藥品安全訊息時，</w:t>
            </w:r>
            <w:proofErr w:type="gramStart"/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均會蒐集</w:t>
            </w:r>
            <w:proofErr w:type="gramEnd"/>
            <w:r w:rsidRPr="00E66EA8">
              <w:rPr>
                <w:rFonts w:ascii="Times New Roman" w:eastAsia="標楷體" w:hAnsi="Times New Roman" w:cs="Times New Roman"/>
                <w:bCs/>
                <w:color w:val="000000" w:themeColor="text1"/>
              </w:rPr>
              <w:t>彙整相關資料進行評估，並對於新增之藥品風險採取對應之風險管控措施。</w:t>
            </w:r>
          </w:p>
        </w:tc>
      </w:tr>
    </w:tbl>
    <w:p w:rsidR="00E26841" w:rsidRDefault="00E26841" w:rsidP="00EE7E67"/>
    <w:sectPr w:rsidR="00E26841" w:rsidSect="00DA25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769" w:rsidRDefault="00146769" w:rsidP="003B56BC">
      <w:r>
        <w:separator/>
      </w:r>
    </w:p>
  </w:endnote>
  <w:endnote w:type="continuationSeparator" w:id="0">
    <w:p w:rsidR="00146769" w:rsidRDefault="00146769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769" w:rsidRDefault="00146769" w:rsidP="003B56BC">
      <w:r>
        <w:separator/>
      </w:r>
    </w:p>
  </w:footnote>
  <w:footnote w:type="continuationSeparator" w:id="0">
    <w:p w:rsidR="00146769" w:rsidRDefault="00146769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03C50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D83020"/>
    <w:multiLevelType w:val="hybridMultilevel"/>
    <w:tmpl w:val="59928F6E"/>
    <w:lvl w:ilvl="0" w:tplc="744C258E">
      <w:start w:val="1"/>
      <w:numFmt w:val="bullet"/>
      <w:lvlText w:val=""/>
      <w:lvlJc w:val="left"/>
      <w:pPr>
        <w:ind w:left="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" w15:restartNumberingAfterBreak="0">
    <w:nsid w:val="0A9F176E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E92724F"/>
    <w:multiLevelType w:val="hybridMultilevel"/>
    <w:tmpl w:val="EAC8A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DC4F57"/>
    <w:multiLevelType w:val="hybridMultilevel"/>
    <w:tmpl w:val="3E8CC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638BF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EF133D"/>
    <w:multiLevelType w:val="hybridMultilevel"/>
    <w:tmpl w:val="8DA43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61690C"/>
    <w:multiLevelType w:val="hybridMultilevel"/>
    <w:tmpl w:val="41AA97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1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25F51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1642DD"/>
    <w:multiLevelType w:val="hybridMultilevel"/>
    <w:tmpl w:val="AFDAB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5" w15:restartNumberingAfterBreak="0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27903"/>
    <w:multiLevelType w:val="hybridMultilevel"/>
    <w:tmpl w:val="1270C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104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D569A7"/>
    <w:multiLevelType w:val="hybridMultilevel"/>
    <w:tmpl w:val="4392C61E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DE3192"/>
    <w:multiLevelType w:val="hybridMultilevel"/>
    <w:tmpl w:val="A0DEEB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E87EA4"/>
    <w:multiLevelType w:val="hybridMultilevel"/>
    <w:tmpl w:val="D162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234864"/>
    <w:multiLevelType w:val="hybridMultilevel"/>
    <w:tmpl w:val="B1081B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8C74D0"/>
    <w:multiLevelType w:val="hybridMultilevel"/>
    <w:tmpl w:val="5D34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6747B7"/>
    <w:multiLevelType w:val="hybridMultilevel"/>
    <w:tmpl w:val="B83EA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214889"/>
    <w:multiLevelType w:val="hybridMultilevel"/>
    <w:tmpl w:val="DCA40C1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A500C9"/>
    <w:multiLevelType w:val="hybridMultilevel"/>
    <w:tmpl w:val="296A4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26"/>
  </w:num>
  <w:num w:numId="4">
    <w:abstractNumId w:val="18"/>
  </w:num>
  <w:num w:numId="5">
    <w:abstractNumId w:val="34"/>
  </w:num>
  <w:num w:numId="6">
    <w:abstractNumId w:val="29"/>
  </w:num>
  <w:num w:numId="7">
    <w:abstractNumId w:val="41"/>
  </w:num>
  <w:num w:numId="8">
    <w:abstractNumId w:val="6"/>
  </w:num>
  <w:num w:numId="9">
    <w:abstractNumId w:val="24"/>
  </w:num>
  <w:num w:numId="10">
    <w:abstractNumId w:val="9"/>
  </w:num>
  <w:num w:numId="11">
    <w:abstractNumId w:val="20"/>
  </w:num>
  <w:num w:numId="12">
    <w:abstractNumId w:val="33"/>
  </w:num>
  <w:num w:numId="13">
    <w:abstractNumId w:val="21"/>
  </w:num>
  <w:num w:numId="14">
    <w:abstractNumId w:val="7"/>
  </w:num>
  <w:num w:numId="15">
    <w:abstractNumId w:val="5"/>
  </w:num>
  <w:num w:numId="16">
    <w:abstractNumId w:val="25"/>
  </w:num>
  <w:num w:numId="17">
    <w:abstractNumId w:val="35"/>
  </w:num>
  <w:num w:numId="18">
    <w:abstractNumId w:val="44"/>
  </w:num>
  <w:num w:numId="19">
    <w:abstractNumId w:val="42"/>
  </w:num>
  <w:num w:numId="20">
    <w:abstractNumId w:val="45"/>
  </w:num>
  <w:num w:numId="21">
    <w:abstractNumId w:val="31"/>
  </w:num>
  <w:num w:numId="22">
    <w:abstractNumId w:val="16"/>
  </w:num>
  <w:num w:numId="23">
    <w:abstractNumId w:val="28"/>
  </w:num>
  <w:num w:numId="24">
    <w:abstractNumId w:val="17"/>
  </w:num>
  <w:num w:numId="25">
    <w:abstractNumId w:val="15"/>
  </w:num>
  <w:num w:numId="26">
    <w:abstractNumId w:val="4"/>
  </w:num>
  <w:num w:numId="27">
    <w:abstractNumId w:val="10"/>
  </w:num>
  <w:num w:numId="28">
    <w:abstractNumId w:val="38"/>
  </w:num>
  <w:num w:numId="29">
    <w:abstractNumId w:val="13"/>
  </w:num>
  <w:num w:numId="30">
    <w:abstractNumId w:val="8"/>
  </w:num>
  <w:num w:numId="31">
    <w:abstractNumId w:val="32"/>
  </w:num>
  <w:num w:numId="32">
    <w:abstractNumId w:val="22"/>
  </w:num>
  <w:num w:numId="33">
    <w:abstractNumId w:val="3"/>
  </w:num>
  <w:num w:numId="34">
    <w:abstractNumId w:val="1"/>
  </w:num>
  <w:num w:numId="35">
    <w:abstractNumId w:val="37"/>
  </w:num>
  <w:num w:numId="36">
    <w:abstractNumId w:val="23"/>
  </w:num>
  <w:num w:numId="37">
    <w:abstractNumId w:val="39"/>
  </w:num>
  <w:num w:numId="38">
    <w:abstractNumId w:val="46"/>
  </w:num>
  <w:num w:numId="39">
    <w:abstractNumId w:val="14"/>
  </w:num>
  <w:num w:numId="40">
    <w:abstractNumId w:val="2"/>
  </w:num>
  <w:num w:numId="41">
    <w:abstractNumId w:val="32"/>
    <w:lvlOverride w:ilvl="0">
      <w:lvl w:ilvl="0" w:tplc="0409000F">
        <w:start w:val="1"/>
        <w:numFmt w:val="decimal"/>
        <w:lvlText w:val="%1.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744C258E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2">
    <w:abstractNumId w:val="40"/>
  </w:num>
  <w:num w:numId="43">
    <w:abstractNumId w:val="27"/>
  </w:num>
  <w:num w:numId="44">
    <w:abstractNumId w:val="12"/>
  </w:num>
  <w:num w:numId="45">
    <w:abstractNumId w:val="11"/>
  </w:num>
  <w:num w:numId="46">
    <w:abstractNumId w:val="19"/>
  </w:num>
  <w:num w:numId="47">
    <w:abstractNumId w:val="30"/>
  </w:num>
  <w:num w:numId="4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86D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329"/>
    <w:rsid w:val="00017AD6"/>
    <w:rsid w:val="000231F1"/>
    <w:rsid w:val="00024566"/>
    <w:rsid w:val="00024EB8"/>
    <w:rsid w:val="000252AC"/>
    <w:rsid w:val="00026631"/>
    <w:rsid w:val="00026983"/>
    <w:rsid w:val="0002707A"/>
    <w:rsid w:val="0003043C"/>
    <w:rsid w:val="00031F32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1A35"/>
    <w:rsid w:val="0004206A"/>
    <w:rsid w:val="00042084"/>
    <w:rsid w:val="0004233F"/>
    <w:rsid w:val="00042A2A"/>
    <w:rsid w:val="00042AB2"/>
    <w:rsid w:val="00042B95"/>
    <w:rsid w:val="0004304B"/>
    <w:rsid w:val="000433C7"/>
    <w:rsid w:val="000449E4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545"/>
    <w:rsid w:val="000513B2"/>
    <w:rsid w:val="00052487"/>
    <w:rsid w:val="000532C1"/>
    <w:rsid w:val="00053A95"/>
    <w:rsid w:val="000541D0"/>
    <w:rsid w:val="00054444"/>
    <w:rsid w:val="0005566D"/>
    <w:rsid w:val="000564A7"/>
    <w:rsid w:val="00056643"/>
    <w:rsid w:val="000568F8"/>
    <w:rsid w:val="00056F8F"/>
    <w:rsid w:val="000574F1"/>
    <w:rsid w:val="00057714"/>
    <w:rsid w:val="00057BAD"/>
    <w:rsid w:val="0006115A"/>
    <w:rsid w:val="00061DD0"/>
    <w:rsid w:val="0006212E"/>
    <w:rsid w:val="000629E9"/>
    <w:rsid w:val="00063573"/>
    <w:rsid w:val="000651E9"/>
    <w:rsid w:val="000657FC"/>
    <w:rsid w:val="0006594B"/>
    <w:rsid w:val="00065D24"/>
    <w:rsid w:val="00065F8B"/>
    <w:rsid w:val="00066833"/>
    <w:rsid w:val="00066BBA"/>
    <w:rsid w:val="00067980"/>
    <w:rsid w:val="000705C6"/>
    <w:rsid w:val="00070D59"/>
    <w:rsid w:val="000710A8"/>
    <w:rsid w:val="00072239"/>
    <w:rsid w:val="00074C19"/>
    <w:rsid w:val="00075517"/>
    <w:rsid w:val="00076C07"/>
    <w:rsid w:val="000777E4"/>
    <w:rsid w:val="00077A06"/>
    <w:rsid w:val="00077DFA"/>
    <w:rsid w:val="00077EC3"/>
    <w:rsid w:val="00080499"/>
    <w:rsid w:val="000810B0"/>
    <w:rsid w:val="000813BB"/>
    <w:rsid w:val="00081D44"/>
    <w:rsid w:val="000820FB"/>
    <w:rsid w:val="00082183"/>
    <w:rsid w:val="00082DEE"/>
    <w:rsid w:val="00083F14"/>
    <w:rsid w:val="000841D6"/>
    <w:rsid w:val="000846C5"/>
    <w:rsid w:val="000863B2"/>
    <w:rsid w:val="00086512"/>
    <w:rsid w:val="00087201"/>
    <w:rsid w:val="000908C3"/>
    <w:rsid w:val="00090D19"/>
    <w:rsid w:val="00091C0E"/>
    <w:rsid w:val="00091D64"/>
    <w:rsid w:val="00091DF3"/>
    <w:rsid w:val="000926E5"/>
    <w:rsid w:val="0009346C"/>
    <w:rsid w:val="00093761"/>
    <w:rsid w:val="00093776"/>
    <w:rsid w:val="0009412B"/>
    <w:rsid w:val="00096F70"/>
    <w:rsid w:val="0009706D"/>
    <w:rsid w:val="00097743"/>
    <w:rsid w:val="00097928"/>
    <w:rsid w:val="000A04E5"/>
    <w:rsid w:val="000A058D"/>
    <w:rsid w:val="000A05CC"/>
    <w:rsid w:val="000A0803"/>
    <w:rsid w:val="000A1436"/>
    <w:rsid w:val="000A2C92"/>
    <w:rsid w:val="000A3189"/>
    <w:rsid w:val="000A3E05"/>
    <w:rsid w:val="000A3F20"/>
    <w:rsid w:val="000A4010"/>
    <w:rsid w:val="000B0B0F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6DCA"/>
    <w:rsid w:val="000B7944"/>
    <w:rsid w:val="000C168C"/>
    <w:rsid w:val="000C1BB2"/>
    <w:rsid w:val="000C274E"/>
    <w:rsid w:val="000C28FD"/>
    <w:rsid w:val="000C30AB"/>
    <w:rsid w:val="000C3212"/>
    <w:rsid w:val="000C3265"/>
    <w:rsid w:val="000C4EF5"/>
    <w:rsid w:val="000C543F"/>
    <w:rsid w:val="000C5559"/>
    <w:rsid w:val="000C6CDF"/>
    <w:rsid w:val="000C705F"/>
    <w:rsid w:val="000D0FB2"/>
    <w:rsid w:val="000D23E3"/>
    <w:rsid w:val="000D3D55"/>
    <w:rsid w:val="000D575A"/>
    <w:rsid w:val="000D5C02"/>
    <w:rsid w:val="000D6326"/>
    <w:rsid w:val="000D6D71"/>
    <w:rsid w:val="000D796E"/>
    <w:rsid w:val="000E041F"/>
    <w:rsid w:val="000E1AC5"/>
    <w:rsid w:val="000E1CD1"/>
    <w:rsid w:val="000E1DD2"/>
    <w:rsid w:val="000E2269"/>
    <w:rsid w:val="000E2ABD"/>
    <w:rsid w:val="000E2C77"/>
    <w:rsid w:val="000E398C"/>
    <w:rsid w:val="000E401F"/>
    <w:rsid w:val="000E40B5"/>
    <w:rsid w:val="000E4257"/>
    <w:rsid w:val="000E4856"/>
    <w:rsid w:val="000E511D"/>
    <w:rsid w:val="000E662C"/>
    <w:rsid w:val="000F197E"/>
    <w:rsid w:val="000F21E8"/>
    <w:rsid w:val="000F2321"/>
    <w:rsid w:val="000F294A"/>
    <w:rsid w:val="000F3F15"/>
    <w:rsid w:val="000F4047"/>
    <w:rsid w:val="000F419D"/>
    <w:rsid w:val="000F5BF9"/>
    <w:rsid w:val="000F6F7C"/>
    <w:rsid w:val="000F7065"/>
    <w:rsid w:val="000F71FB"/>
    <w:rsid w:val="000F79E7"/>
    <w:rsid w:val="000F7B85"/>
    <w:rsid w:val="0010070A"/>
    <w:rsid w:val="00101993"/>
    <w:rsid w:val="00101B73"/>
    <w:rsid w:val="00101F28"/>
    <w:rsid w:val="001037C9"/>
    <w:rsid w:val="001040E8"/>
    <w:rsid w:val="00104870"/>
    <w:rsid w:val="0010495F"/>
    <w:rsid w:val="001049E0"/>
    <w:rsid w:val="00105264"/>
    <w:rsid w:val="00105CD7"/>
    <w:rsid w:val="00106445"/>
    <w:rsid w:val="00107788"/>
    <w:rsid w:val="001104C1"/>
    <w:rsid w:val="001107F2"/>
    <w:rsid w:val="0011183E"/>
    <w:rsid w:val="001132B4"/>
    <w:rsid w:val="001151C3"/>
    <w:rsid w:val="0011542E"/>
    <w:rsid w:val="00115A5F"/>
    <w:rsid w:val="00115F78"/>
    <w:rsid w:val="001164B5"/>
    <w:rsid w:val="00116EA0"/>
    <w:rsid w:val="00116FA8"/>
    <w:rsid w:val="0012025B"/>
    <w:rsid w:val="00120328"/>
    <w:rsid w:val="001221CE"/>
    <w:rsid w:val="001226A2"/>
    <w:rsid w:val="00122B7D"/>
    <w:rsid w:val="00123B37"/>
    <w:rsid w:val="00123FB1"/>
    <w:rsid w:val="00124021"/>
    <w:rsid w:val="00124279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5DF8"/>
    <w:rsid w:val="00136184"/>
    <w:rsid w:val="001365D2"/>
    <w:rsid w:val="00137107"/>
    <w:rsid w:val="001409C3"/>
    <w:rsid w:val="00141ABB"/>
    <w:rsid w:val="00141D32"/>
    <w:rsid w:val="00142B5F"/>
    <w:rsid w:val="00142F23"/>
    <w:rsid w:val="00143373"/>
    <w:rsid w:val="00144214"/>
    <w:rsid w:val="00144836"/>
    <w:rsid w:val="001455B6"/>
    <w:rsid w:val="00145AF1"/>
    <w:rsid w:val="00146769"/>
    <w:rsid w:val="00150360"/>
    <w:rsid w:val="001506A2"/>
    <w:rsid w:val="00151826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CF7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67DAC"/>
    <w:rsid w:val="00167E81"/>
    <w:rsid w:val="0017168C"/>
    <w:rsid w:val="00172184"/>
    <w:rsid w:val="00172779"/>
    <w:rsid w:val="001742E9"/>
    <w:rsid w:val="001769E6"/>
    <w:rsid w:val="00176B4B"/>
    <w:rsid w:val="00176C47"/>
    <w:rsid w:val="0017729A"/>
    <w:rsid w:val="00177378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98"/>
    <w:rsid w:val="001875CC"/>
    <w:rsid w:val="00187B85"/>
    <w:rsid w:val="00187C4B"/>
    <w:rsid w:val="00187D7B"/>
    <w:rsid w:val="00190922"/>
    <w:rsid w:val="001909DD"/>
    <w:rsid w:val="001926CF"/>
    <w:rsid w:val="00192DA3"/>
    <w:rsid w:val="00193455"/>
    <w:rsid w:val="001937E0"/>
    <w:rsid w:val="001938C0"/>
    <w:rsid w:val="0019414A"/>
    <w:rsid w:val="0019493A"/>
    <w:rsid w:val="001954AE"/>
    <w:rsid w:val="00195A13"/>
    <w:rsid w:val="00195A93"/>
    <w:rsid w:val="00196627"/>
    <w:rsid w:val="001966FF"/>
    <w:rsid w:val="00196E13"/>
    <w:rsid w:val="00196F45"/>
    <w:rsid w:val="00197462"/>
    <w:rsid w:val="001979BC"/>
    <w:rsid w:val="001A0B73"/>
    <w:rsid w:val="001A0CD4"/>
    <w:rsid w:val="001A1467"/>
    <w:rsid w:val="001A1883"/>
    <w:rsid w:val="001A2E99"/>
    <w:rsid w:val="001A3CD6"/>
    <w:rsid w:val="001A4A21"/>
    <w:rsid w:val="001A5323"/>
    <w:rsid w:val="001A5911"/>
    <w:rsid w:val="001A7593"/>
    <w:rsid w:val="001B066D"/>
    <w:rsid w:val="001B1084"/>
    <w:rsid w:val="001B16AB"/>
    <w:rsid w:val="001B1867"/>
    <w:rsid w:val="001B19B5"/>
    <w:rsid w:val="001B2908"/>
    <w:rsid w:val="001B2F9A"/>
    <w:rsid w:val="001B329F"/>
    <w:rsid w:val="001B36F2"/>
    <w:rsid w:val="001B402E"/>
    <w:rsid w:val="001B4099"/>
    <w:rsid w:val="001B42C3"/>
    <w:rsid w:val="001B588F"/>
    <w:rsid w:val="001B7077"/>
    <w:rsid w:val="001B7903"/>
    <w:rsid w:val="001C0186"/>
    <w:rsid w:val="001C0BC6"/>
    <w:rsid w:val="001C0DBF"/>
    <w:rsid w:val="001C2425"/>
    <w:rsid w:val="001C353D"/>
    <w:rsid w:val="001C3825"/>
    <w:rsid w:val="001C5A1B"/>
    <w:rsid w:val="001C6640"/>
    <w:rsid w:val="001C673A"/>
    <w:rsid w:val="001D032F"/>
    <w:rsid w:val="001D1B3C"/>
    <w:rsid w:val="001D1DCA"/>
    <w:rsid w:val="001D275A"/>
    <w:rsid w:val="001D43BC"/>
    <w:rsid w:val="001D5BFE"/>
    <w:rsid w:val="001D5D19"/>
    <w:rsid w:val="001D6C93"/>
    <w:rsid w:val="001D789A"/>
    <w:rsid w:val="001E0B52"/>
    <w:rsid w:val="001E16C6"/>
    <w:rsid w:val="001E17E1"/>
    <w:rsid w:val="001E2E41"/>
    <w:rsid w:val="001E36C3"/>
    <w:rsid w:val="001E3BEB"/>
    <w:rsid w:val="001E4113"/>
    <w:rsid w:val="001E4D43"/>
    <w:rsid w:val="001E5B1B"/>
    <w:rsid w:val="001E5CE1"/>
    <w:rsid w:val="001E62A1"/>
    <w:rsid w:val="001E6463"/>
    <w:rsid w:val="001E6658"/>
    <w:rsid w:val="001E6F73"/>
    <w:rsid w:val="001E6F88"/>
    <w:rsid w:val="001E7D28"/>
    <w:rsid w:val="001F0101"/>
    <w:rsid w:val="001F11CF"/>
    <w:rsid w:val="001F1B37"/>
    <w:rsid w:val="001F2486"/>
    <w:rsid w:val="001F251E"/>
    <w:rsid w:val="001F3088"/>
    <w:rsid w:val="001F3DF7"/>
    <w:rsid w:val="001F47D0"/>
    <w:rsid w:val="001F67CC"/>
    <w:rsid w:val="001F71B9"/>
    <w:rsid w:val="001F7C2B"/>
    <w:rsid w:val="00201F85"/>
    <w:rsid w:val="00203113"/>
    <w:rsid w:val="002035AA"/>
    <w:rsid w:val="002042C2"/>
    <w:rsid w:val="0020506E"/>
    <w:rsid w:val="00205709"/>
    <w:rsid w:val="00205879"/>
    <w:rsid w:val="002064E3"/>
    <w:rsid w:val="002066FE"/>
    <w:rsid w:val="00206844"/>
    <w:rsid w:val="00206E2E"/>
    <w:rsid w:val="00211E09"/>
    <w:rsid w:val="0021279D"/>
    <w:rsid w:val="0021280B"/>
    <w:rsid w:val="002129C2"/>
    <w:rsid w:val="002134C3"/>
    <w:rsid w:val="002143D0"/>
    <w:rsid w:val="002147D2"/>
    <w:rsid w:val="002154F6"/>
    <w:rsid w:val="0021575E"/>
    <w:rsid w:val="00215F9D"/>
    <w:rsid w:val="002162F4"/>
    <w:rsid w:val="00220291"/>
    <w:rsid w:val="002202AF"/>
    <w:rsid w:val="002205A8"/>
    <w:rsid w:val="00221223"/>
    <w:rsid w:val="00221639"/>
    <w:rsid w:val="00221E37"/>
    <w:rsid w:val="002243F5"/>
    <w:rsid w:val="00224736"/>
    <w:rsid w:val="00224B86"/>
    <w:rsid w:val="00225781"/>
    <w:rsid w:val="00225F49"/>
    <w:rsid w:val="002270DA"/>
    <w:rsid w:val="002276B5"/>
    <w:rsid w:val="00227CA8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58B"/>
    <w:rsid w:val="00241D14"/>
    <w:rsid w:val="00241EFA"/>
    <w:rsid w:val="00241FED"/>
    <w:rsid w:val="002420D6"/>
    <w:rsid w:val="0024250B"/>
    <w:rsid w:val="0024395F"/>
    <w:rsid w:val="00243B99"/>
    <w:rsid w:val="00243D9E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E7B"/>
    <w:rsid w:val="00253FBA"/>
    <w:rsid w:val="00254393"/>
    <w:rsid w:val="002556E6"/>
    <w:rsid w:val="00255E33"/>
    <w:rsid w:val="00257536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3BD"/>
    <w:rsid w:val="00273DE3"/>
    <w:rsid w:val="0027402D"/>
    <w:rsid w:val="00275490"/>
    <w:rsid w:val="00276511"/>
    <w:rsid w:val="0027776F"/>
    <w:rsid w:val="002779B5"/>
    <w:rsid w:val="00280F43"/>
    <w:rsid w:val="00281EE1"/>
    <w:rsid w:val="002827C9"/>
    <w:rsid w:val="002828B2"/>
    <w:rsid w:val="002829E2"/>
    <w:rsid w:val="00282AD1"/>
    <w:rsid w:val="00283443"/>
    <w:rsid w:val="002841B1"/>
    <w:rsid w:val="00284725"/>
    <w:rsid w:val="00284CCE"/>
    <w:rsid w:val="00284E09"/>
    <w:rsid w:val="002853C3"/>
    <w:rsid w:val="002854BD"/>
    <w:rsid w:val="00285934"/>
    <w:rsid w:val="00285ABD"/>
    <w:rsid w:val="00286089"/>
    <w:rsid w:val="0028628A"/>
    <w:rsid w:val="00290607"/>
    <w:rsid w:val="002911B5"/>
    <w:rsid w:val="00292D9D"/>
    <w:rsid w:val="00293CC3"/>
    <w:rsid w:val="002945BB"/>
    <w:rsid w:val="00294900"/>
    <w:rsid w:val="00295558"/>
    <w:rsid w:val="00296E16"/>
    <w:rsid w:val="002A2CDB"/>
    <w:rsid w:val="002A3447"/>
    <w:rsid w:val="002A3E0E"/>
    <w:rsid w:val="002A46FC"/>
    <w:rsid w:val="002A5A4F"/>
    <w:rsid w:val="002A7431"/>
    <w:rsid w:val="002A7832"/>
    <w:rsid w:val="002B01C5"/>
    <w:rsid w:val="002B0D50"/>
    <w:rsid w:val="002B14ED"/>
    <w:rsid w:val="002B4651"/>
    <w:rsid w:val="002B48B5"/>
    <w:rsid w:val="002B5B50"/>
    <w:rsid w:val="002C26C1"/>
    <w:rsid w:val="002C3A69"/>
    <w:rsid w:val="002C413F"/>
    <w:rsid w:val="002C4641"/>
    <w:rsid w:val="002C5626"/>
    <w:rsid w:val="002C6177"/>
    <w:rsid w:val="002C6578"/>
    <w:rsid w:val="002C702D"/>
    <w:rsid w:val="002C76BC"/>
    <w:rsid w:val="002C7C5F"/>
    <w:rsid w:val="002D01AA"/>
    <w:rsid w:val="002D1CF9"/>
    <w:rsid w:val="002D2171"/>
    <w:rsid w:val="002D23D5"/>
    <w:rsid w:val="002D2686"/>
    <w:rsid w:val="002D2CC3"/>
    <w:rsid w:val="002D32BB"/>
    <w:rsid w:val="002D3FC9"/>
    <w:rsid w:val="002D4B6C"/>
    <w:rsid w:val="002D5441"/>
    <w:rsid w:val="002D58B8"/>
    <w:rsid w:val="002D59E7"/>
    <w:rsid w:val="002D5D1D"/>
    <w:rsid w:val="002E0BFE"/>
    <w:rsid w:val="002E173A"/>
    <w:rsid w:val="002E21F5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783"/>
    <w:rsid w:val="002F49E1"/>
    <w:rsid w:val="002F5609"/>
    <w:rsid w:val="002F751E"/>
    <w:rsid w:val="002F7E78"/>
    <w:rsid w:val="002F7E83"/>
    <w:rsid w:val="002F7EA2"/>
    <w:rsid w:val="00301732"/>
    <w:rsid w:val="0030181F"/>
    <w:rsid w:val="003018D9"/>
    <w:rsid w:val="00301A2E"/>
    <w:rsid w:val="003025BF"/>
    <w:rsid w:val="003029B5"/>
    <w:rsid w:val="00305F0F"/>
    <w:rsid w:val="00305FB4"/>
    <w:rsid w:val="0030700D"/>
    <w:rsid w:val="00311EDE"/>
    <w:rsid w:val="0031212E"/>
    <w:rsid w:val="003126DF"/>
    <w:rsid w:val="00312A82"/>
    <w:rsid w:val="00313B7B"/>
    <w:rsid w:val="00313CF7"/>
    <w:rsid w:val="0031537D"/>
    <w:rsid w:val="00315F9C"/>
    <w:rsid w:val="00316997"/>
    <w:rsid w:val="003179EF"/>
    <w:rsid w:val="003209F3"/>
    <w:rsid w:val="00321850"/>
    <w:rsid w:val="003218BB"/>
    <w:rsid w:val="00321CA5"/>
    <w:rsid w:val="00323A1A"/>
    <w:rsid w:val="00324E5B"/>
    <w:rsid w:val="00324F1C"/>
    <w:rsid w:val="00325B55"/>
    <w:rsid w:val="003261A8"/>
    <w:rsid w:val="003265D1"/>
    <w:rsid w:val="00330124"/>
    <w:rsid w:val="00331A22"/>
    <w:rsid w:val="00332876"/>
    <w:rsid w:val="00332900"/>
    <w:rsid w:val="0033298B"/>
    <w:rsid w:val="00333676"/>
    <w:rsid w:val="00333E8D"/>
    <w:rsid w:val="003342A1"/>
    <w:rsid w:val="0033458A"/>
    <w:rsid w:val="003354B6"/>
    <w:rsid w:val="00336369"/>
    <w:rsid w:val="00336622"/>
    <w:rsid w:val="00336C9A"/>
    <w:rsid w:val="00336F61"/>
    <w:rsid w:val="00337A58"/>
    <w:rsid w:val="003403A0"/>
    <w:rsid w:val="00340863"/>
    <w:rsid w:val="0034359B"/>
    <w:rsid w:val="0034466B"/>
    <w:rsid w:val="00344761"/>
    <w:rsid w:val="003451D4"/>
    <w:rsid w:val="00345AEB"/>
    <w:rsid w:val="00345BF5"/>
    <w:rsid w:val="00346490"/>
    <w:rsid w:val="003466E5"/>
    <w:rsid w:val="00354389"/>
    <w:rsid w:val="003565AD"/>
    <w:rsid w:val="00356ED8"/>
    <w:rsid w:val="003577D0"/>
    <w:rsid w:val="00357D94"/>
    <w:rsid w:val="00357EF8"/>
    <w:rsid w:val="00360BBF"/>
    <w:rsid w:val="00361463"/>
    <w:rsid w:val="00362C26"/>
    <w:rsid w:val="003636F3"/>
    <w:rsid w:val="003670AB"/>
    <w:rsid w:val="00367110"/>
    <w:rsid w:val="00367859"/>
    <w:rsid w:val="00367B9C"/>
    <w:rsid w:val="003708D0"/>
    <w:rsid w:val="00370EB4"/>
    <w:rsid w:val="00371063"/>
    <w:rsid w:val="00371B61"/>
    <w:rsid w:val="00372FA2"/>
    <w:rsid w:val="003735F2"/>
    <w:rsid w:val="00373E30"/>
    <w:rsid w:val="00374D20"/>
    <w:rsid w:val="00374FE1"/>
    <w:rsid w:val="003750CF"/>
    <w:rsid w:val="003752CB"/>
    <w:rsid w:val="00375B42"/>
    <w:rsid w:val="00376644"/>
    <w:rsid w:val="003773D1"/>
    <w:rsid w:val="00377949"/>
    <w:rsid w:val="00377AE6"/>
    <w:rsid w:val="00380713"/>
    <w:rsid w:val="003808A0"/>
    <w:rsid w:val="00380E14"/>
    <w:rsid w:val="003826C6"/>
    <w:rsid w:val="00383701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5EE5"/>
    <w:rsid w:val="00396FC3"/>
    <w:rsid w:val="003970A4"/>
    <w:rsid w:val="003A1A07"/>
    <w:rsid w:val="003A350C"/>
    <w:rsid w:val="003A4120"/>
    <w:rsid w:val="003A4A19"/>
    <w:rsid w:val="003A5C15"/>
    <w:rsid w:val="003A63A0"/>
    <w:rsid w:val="003B1179"/>
    <w:rsid w:val="003B2755"/>
    <w:rsid w:val="003B36A0"/>
    <w:rsid w:val="003B4941"/>
    <w:rsid w:val="003B53BF"/>
    <w:rsid w:val="003B56BC"/>
    <w:rsid w:val="003B5896"/>
    <w:rsid w:val="003B6D8F"/>
    <w:rsid w:val="003B79B7"/>
    <w:rsid w:val="003C0368"/>
    <w:rsid w:val="003C0E64"/>
    <w:rsid w:val="003C1D6C"/>
    <w:rsid w:val="003C3490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C7B6C"/>
    <w:rsid w:val="003D03B0"/>
    <w:rsid w:val="003D060D"/>
    <w:rsid w:val="003D13E7"/>
    <w:rsid w:val="003D19C1"/>
    <w:rsid w:val="003D1C19"/>
    <w:rsid w:val="003D1EE0"/>
    <w:rsid w:val="003D30B1"/>
    <w:rsid w:val="003D3DB0"/>
    <w:rsid w:val="003D50D3"/>
    <w:rsid w:val="003D50D7"/>
    <w:rsid w:val="003D52EE"/>
    <w:rsid w:val="003D5A52"/>
    <w:rsid w:val="003D614B"/>
    <w:rsid w:val="003D647C"/>
    <w:rsid w:val="003D6ADC"/>
    <w:rsid w:val="003D7BB4"/>
    <w:rsid w:val="003E057E"/>
    <w:rsid w:val="003E15EC"/>
    <w:rsid w:val="003E5420"/>
    <w:rsid w:val="003E6325"/>
    <w:rsid w:val="003E78BC"/>
    <w:rsid w:val="003E78E5"/>
    <w:rsid w:val="003F04FB"/>
    <w:rsid w:val="003F0E8C"/>
    <w:rsid w:val="003F2759"/>
    <w:rsid w:val="003F2894"/>
    <w:rsid w:val="003F38B4"/>
    <w:rsid w:val="003F3D91"/>
    <w:rsid w:val="003F4CE2"/>
    <w:rsid w:val="003F5E87"/>
    <w:rsid w:val="003F627C"/>
    <w:rsid w:val="003F63EC"/>
    <w:rsid w:val="003F7747"/>
    <w:rsid w:val="003F7880"/>
    <w:rsid w:val="00400ADD"/>
    <w:rsid w:val="00400BCB"/>
    <w:rsid w:val="00401687"/>
    <w:rsid w:val="00401A08"/>
    <w:rsid w:val="00404BD2"/>
    <w:rsid w:val="00405731"/>
    <w:rsid w:val="00405C6B"/>
    <w:rsid w:val="004062C8"/>
    <w:rsid w:val="00406830"/>
    <w:rsid w:val="00410346"/>
    <w:rsid w:val="00410377"/>
    <w:rsid w:val="004104BE"/>
    <w:rsid w:val="004115A5"/>
    <w:rsid w:val="00411DC9"/>
    <w:rsid w:val="00412485"/>
    <w:rsid w:val="004137A0"/>
    <w:rsid w:val="004139A3"/>
    <w:rsid w:val="00413AAE"/>
    <w:rsid w:val="0041465F"/>
    <w:rsid w:val="00414A3E"/>
    <w:rsid w:val="00415A01"/>
    <w:rsid w:val="00415D5C"/>
    <w:rsid w:val="00415E11"/>
    <w:rsid w:val="00416206"/>
    <w:rsid w:val="00416503"/>
    <w:rsid w:val="00417332"/>
    <w:rsid w:val="00417AD9"/>
    <w:rsid w:val="00420D19"/>
    <w:rsid w:val="004211E9"/>
    <w:rsid w:val="00421729"/>
    <w:rsid w:val="004217BD"/>
    <w:rsid w:val="00421918"/>
    <w:rsid w:val="00421FEE"/>
    <w:rsid w:val="00422030"/>
    <w:rsid w:val="004222BA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31EA"/>
    <w:rsid w:val="00433750"/>
    <w:rsid w:val="00433D15"/>
    <w:rsid w:val="00434AEB"/>
    <w:rsid w:val="00434B46"/>
    <w:rsid w:val="00434D0E"/>
    <w:rsid w:val="004350BF"/>
    <w:rsid w:val="00436A8B"/>
    <w:rsid w:val="00437571"/>
    <w:rsid w:val="00437820"/>
    <w:rsid w:val="00437F93"/>
    <w:rsid w:val="004419CF"/>
    <w:rsid w:val="00442988"/>
    <w:rsid w:val="00443436"/>
    <w:rsid w:val="004434C8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1D5F"/>
    <w:rsid w:val="004532E3"/>
    <w:rsid w:val="004534F6"/>
    <w:rsid w:val="00453A37"/>
    <w:rsid w:val="00453B24"/>
    <w:rsid w:val="0045510C"/>
    <w:rsid w:val="004552BB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3E3"/>
    <w:rsid w:val="0046450D"/>
    <w:rsid w:val="004649C0"/>
    <w:rsid w:val="004650F6"/>
    <w:rsid w:val="00466D14"/>
    <w:rsid w:val="00470188"/>
    <w:rsid w:val="00470B91"/>
    <w:rsid w:val="0047128D"/>
    <w:rsid w:val="004713B5"/>
    <w:rsid w:val="004717A3"/>
    <w:rsid w:val="00473389"/>
    <w:rsid w:val="00473D58"/>
    <w:rsid w:val="004744EF"/>
    <w:rsid w:val="00474632"/>
    <w:rsid w:val="00474DA6"/>
    <w:rsid w:val="004755FD"/>
    <w:rsid w:val="00475950"/>
    <w:rsid w:val="004761F9"/>
    <w:rsid w:val="00476A89"/>
    <w:rsid w:val="00477400"/>
    <w:rsid w:val="0047762F"/>
    <w:rsid w:val="004776FF"/>
    <w:rsid w:val="00477D9C"/>
    <w:rsid w:val="004806CB"/>
    <w:rsid w:val="00480D8B"/>
    <w:rsid w:val="004825E3"/>
    <w:rsid w:val="00482656"/>
    <w:rsid w:val="00486F08"/>
    <w:rsid w:val="004878B9"/>
    <w:rsid w:val="00490DF1"/>
    <w:rsid w:val="00491525"/>
    <w:rsid w:val="00491658"/>
    <w:rsid w:val="00491E85"/>
    <w:rsid w:val="00494350"/>
    <w:rsid w:val="004948DF"/>
    <w:rsid w:val="00494B0B"/>
    <w:rsid w:val="00494FA7"/>
    <w:rsid w:val="004952E2"/>
    <w:rsid w:val="004956BA"/>
    <w:rsid w:val="00495C77"/>
    <w:rsid w:val="00496BFB"/>
    <w:rsid w:val="0049734A"/>
    <w:rsid w:val="004A2826"/>
    <w:rsid w:val="004A3023"/>
    <w:rsid w:val="004A32DE"/>
    <w:rsid w:val="004A3314"/>
    <w:rsid w:val="004A3392"/>
    <w:rsid w:val="004A5369"/>
    <w:rsid w:val="004A5D25"/>
    <w:rsid w:val="004A65F9"/>
    <w:rsid w:val="004B2272"/>
    <w:rsid w:val="004B2616"/>
    <w:rsid w:val="004B2EFB"/>
    <w:rsid w:val="004B354D"/>
    <w:rsid w:val="004B442E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B4E"/>
    <w:rsid w:val="004C3F73"/>
    <w:rsid w:val="004C50A6"/>
    <w:rsid w:val="004C5E11"/>
    <w:rsid w:val="004C6AA7"/>
    <w:rsid w:val="004C7022"/>
    <w:rsid w:val="004C717F"/>
    <w:rsid w:val="004C7C76"/>
    <w:rsid w:val="004D02E4"/>
    <w:rsid w:val="004D159F"/>
    <w:rsid w:val="004D1D6D"/>
    <w:rsid w:val="004D3A0D"/>
    <w:rsid w:val="004D40E2"/>
    <w:rsid w:val="004D41DB"/>
    <w:rsid w:val="004D4618"/>
    <w:rsid w:val="004D4BFC"/>
    <w:rsid w:val="004D4ED0"/>
    <w:rsid w:val="004D4F55"/>
    <w:rsid w:val="004D56A7"/>
    <w:rsid w:val="004E0196"/>
    <w:rsid w:val="004E051B"/>
    <w:rsid w:val="004E136E"/>
    <w:rsid w:val="004E33E0"/>
    <w:rsid w:val="004E3DE2"/>
    <w:rsid w:val="004E50EE"/>
    <w:rsid w:val="004E53FD"/>
    <w:rsid w:val="004E5D24"/>
    <w:rsid w:val="004E6382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5030A5"/>
    <w:rsid w:val="00503747"/>
    <w:rsid w:val="005044AF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51C1"/>
    <w:rsid w:val="005166F2"/>
    <w:rsid w:val="0051787B"/>
    <w:rsid w:val="005178E9"/>
    <w:rsid w:val="0052098B"/>
    <w:rsid w:val="00520AC1"/>
    <w:rsid w:val="005210AC"/>
    <w:rsid w:val="00521C05"/>
    <w:rsid w:val="00521DF9"/>
    <w:rsid w:val="00522677"/>
    <w:rsid w:val="00522F76"/>
    <w:rsid w:val="00523BBC"/>
    <w:rsid w:val="005240C8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3567"/>
    <w:rsid w:val="0053393B"/>
    <w:rsid w:val="00533C47"/>
    <w:rsid w:val="00533F29"/>
    <w:rsid w:val="00535450"/>
    <w:rsid w:val="005354EA"/>
    <w:rsid w:val="00536CC3"/>
    <w:rsid w:val="005371C6"/>
    <w:rsid w:val="00537458"/>
    <w:rsid w:val="0053748B"/>
    <w:rsid w:val="00537A39"/>
    <w:rsid w:val="00537DED"/>
    <w:rsid w:val="005402A3"/>
    <w:rsid w:val="005402E1"/>
    <w:rsid w:val="00541C57"/>
    <w:rsid w:val="00542273"/>
    <w:rsid w:val="00542677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5146D"/>
    <w:rsid w:val="0055218E"/>
    <w:rsid w:val="0055264E"/>
    <w:rsid w:val="005529AD"/>
    <w:rsid w:val="00552AE1"/>
    <w:rsid w:val="00552B7C"/>
    <w:rsid w:val="00555AE6"/>
    <w:rsid w:val="00556EAF"/>
    <w:rsid w:val="005605A8"/>
    <w:rsid w:val="00561168"/>
    <w:rsid w:val="005611EF"/>
    <w:rsid w:val="00561A05"/>
    <w:rsid w:val="0056213B"/>
    <w:rsid w:val="00564874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706B"/>
    <w:rsid w:val="005801E1"/>
    <w:rsid w:val="00580DAA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4DDE"/>
    <w:rsid w:val="00594EFB"/>
    <w:rsid w:val="005953A0"/>
    <w:rsid w:val="00595D62"/>
    <w:rsid w:val="0059661E"/>
    <w:rsid w:val="005A09FE"/>
    <w:rsid w:val="005A1A68"/>
    <w:rsid w:val="005A2183"/>
    <w:rsid w:val="005A240B"/>
    <w:rsid w:val="005A244C"/>
    <w:rsid w:val="005A2907"/>
    <w:rsid w:val="005A2B73"/>
    <w:rsid w:val="005A3780"/>
    <w:rsid w:val="005A4C75"/>
    <w:rsid w:val="005A55B5"/>
    <w:rsid w:val="005A5755"/>
    <w:rsid w:val="005A5EAE"/>
    <w:rsid w:val="005A6B3F"/>
    <w:rsid w:val="005A6C3C"/>
    <w:rsid w:val="005A78FB"/>
    <w:rsid w:val="005B0483"/>
    <w:rsid w:val="005B2B65"/>
    <w:rsid w:val="005B2B73"/>
    <w:rsid w:val="005B3F6D"/>
    <w:rsid w:val="005B4CC3"/>
    <w:rsid w:val="005B50D1"/>
    <w:rsid w:val="005B648F"/>
    <w:rsid w:val="005B6D74"/>
    <w:rsid w:val="005B79ED"/>
    <w:rsid w:val="005B7BFB"/>
    <w:rsid w:val="005C11BE"/>
    <w:rsid w:val="005C1444"/>
    <w:rsid w:val="005C3990"/>
    <w:rsid w:val="005C434D"/>
    <w:rsid w:val="005C5E03"/>
    <w:rsid w:val="005C7C81"/>
    <w:rsid w:val="005D10B5"/>
    <w:rsid w:val="005D1FDB"/>
    <w:rsid w:val="005D339D"/>
    <w:rsid w:val="005D6ADF"/>
    <w:rsid w:val="005D7764"/>
    <w:rsid w:val="005E00EE"/>
    <w:rsid w:val="005E13B0"/>
    <w:rsid w:val="005E23F8"/>
    <w:rsid w:val="005E271F"/>
    <w:rsid w:val="005E2A37"/>
    <w:rsid w:val="005E381D"/>
    <w:rsid w:val="005E3BF1"/>
    <w:rsid w:val="005E3DD3"/>
    <w:rsid w:val="005E4ADF"/>
    <w:rsid w:val="005E556C"/>
    <w:rsid w:val="005E62F4"/>
    <w:rsid w:val="005F0A69"/>
    <w:rsid w:val="005F0E43"/>
    <w:rsid w:val="005F0F5B"/>
    <w:rsid w:val="005F116C"/>
    <w:rsid w:val="005F1805"/>
    <w:rsid w:val="005F3147"/>
    <w:rsid w:val="005F339E"/>
    <w:rsid w:val="005F3C00"/>
    <w:rsid w:val="005F3E64"/>
    <w:rsid w:val="005F46F9"/>
    <w:rsid w:val="005F57CE"/>
    <w:rsid w:val="005F68ED"/>
    <w:rsid w:val="005F6D8A"/>
    <w:rsid w:val="00600CA8"/>
    <w:rsid w:val="0060109A"/>
    <w:rsid w:val="00601AC4"/>
    <w:rsid w:val="00602C1A"/>
    <w:rsid w:val="006035DD"/>
    <w:rsid w:val="00605170"/>
    <w:rsid w:val="00605EDA"/>
    <w:rsid w:val="006103C6"/>
    <w:rsid w:val="006112E4"/>
    <w:rsid w:val="006130E6"/>
    <w:rsid w:val="00614A6A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4B0"/>
    <w:rsid w:val="006248CF"/>
    <w:rsid w:val="00625956"/>
    <w:rsid w:val="00625AB8"/>
    <w:rsid w:val="00626329"/>
    <w:rsid w:val="00626450"/>
    <w:rsid w:val="00631223"/>
    <w:rsid w:val="00631BCC"/>
    <w:rsid w:val="006323D7"/>
    <w:rsid w:val="006324AE"/>
    <w:rsid w:val="00633381"/>
    <w:rsid w:val="00633EA6"/>
    <w:rsid w:val="006373BC"/>
    <w:rsid w:val="0063780D"/>
    <w:rsid w:val="00640A6C"/>
    <w:rsid w:val="00641C43"/>
    <w:rsid w:val="00641C6D"/>
    <w:rsid w:val="006422CE"/>
    <w:rsid w:val="00642F54"/>
    <w:rsid w:val="006443C1"/>
    <w:rsid w:val="00644664"/>
    <w:rsid w:val="006448CB"/>
    <w:rsid w:val="006448FD"/>
    <w:rsid w:val="00644F23"/>
    <w:rsid w:val="006457C5"/>
    <w:rsid w:val="00646196"/>
    <w:rsid w:val="00647127"/>
    <w:rsid w:val="00647658"/>
    <w:rsid w:val="00650041"/>
    <w:rsid w:val="006501B0"/>
    <w:rsid w:val="00651010"/>
    <w:rsid w:val="006515A2"/>
    <w:rsid w:val="00651D24"/>
    <w:rsid w:val="006539CF"/>
    <w:rsid w:val="006559FC"/>
    <w:rsid w:val="00657225"/>
    <w:rsid w:val="006600E7"/>
    <w:rsid w:val="00660B6C"/>
    <w:rsid w:val="00660DA2"/>
    <w:rsid w:val="006612E3"/>
    <w:rsid w:val="00662DB3"/>
    <w:rsid w:val="00663FF5"/>
    <w:rsid w:val="0066414C"/>
    <w:rsid w:val="00664BDC"/>
    <w:rsid w:val="00665179"/>
    <w:rsid w:val="00667B41"/>
    <w:rsid w:val="00667F28"/>
    <w:rsid w:val="00670780"/>
    <w:rsid w:val="0067082C"/>
    <w:rsid w:val="0067130A"/>
    <w:rsid w:val="006716DC"/>
    <w:rsid w:val="00671E96"/>
    <w:rsid w:val="00672A7B"/>
    <w:rsid w:val="00673126"/>
    <w:rsid w:val="00673A71"/>
    <w:rsid w:val="00673F92"/>
    <w:rsid w:val="00674CFD"/>
    <w:rsid w:val="006767AD"/>
    <w:rsid w:val="00676E4D"/>
    <w:rsid w:val="006777C3"/>
    <w:rsid w:val="00677D3C"/>
    <w:rsid w:val="00680AE5"/>
    <w:rsid w:val="00681D06"/>
    <w:rsid w:val="00681D41"/>
    <w:rsid w:val="00681FC2"/>
    <w:rsid w:val="006824A2"/>
    <w:rsid w:val="0068261E"/>
    <w:rsid w:val="00682827"/>
    <w:rsid w:val="00682CDE"/>
    <w:rsid w:val="00684EB8"/>
    <w:rsid w:val="00686F5D"/>
    <w:rsid w:val="0068713A"/>
    <w:rsid w:val="006900B7"/>
    <w:rsid w:val="0069042B"/>
    <w:rsid w:val="0069046F"/>
    <w:rsid w:val="00690CA3"/>
    <w:rsid w:val="0069200B"/>
    <w:rsid w:val="00692E10"/>
    <w:rsid w:val="00694B98"/>
    <w:rsid w:val="00697032"/>
    <w:rsid w:val="0069730C"/>
    <w:rsid w:val="00697722"/>
    <w:rsid w:val="00697C47"/>
    <w:rsid w:val="006A064D"/>
    <w:rsid w:val="006A0FB0"/>
    <w:rsid w:val="006A1390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BDD"/>
    <w:rsid w:val="006B2E8F"/>
    <w:rsid w:val="006B37A4"/>
    <w:rsid w:val="006B419B"/>
    <w:rsid w:val="006B44DF"/>
    <w:rsid w:val="006B463C"/>
    <w:rsid w:val="006B493C"/>
    <w:rsid w:val="006B52F4"/>
    <w:rsid w:val="006B5E5C"/>
    <w:rsid w:val="006B796D"/>
    <w:rsid w:val="006C10B6"/>
    <w:rsid w:val="006C1C37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0B62"/>
    <w:rsid w:val="006D108A"/>
    <w:rsid w:val="006D10A6"/>
    <w:rsid w:val="006D1EDB"/>
    <w:rsid w:val="006D4051"/>
    <w:rsid w:val="006D4DB5"/>
    <w:rsid w:val="006D517F"/>
    <w:rsid w:val="006D5C91"/>
    <w:rsid w:val="006D6399"/>
    <w:rsid w:val="006D64DD"/>
    <w:rsid w:val="006D65DB"/>
    <w:rsid w:val="006D6A09"/>
    <w:rsid w:val="006D6CB5"/>
    <w:rsid w:val="006D79B8"/>
    <w:rsid w:val="006D7E31"/>
    <w:rsid w:val="006E06D5"/>
    <w:rsid w:val="006E13E7"/>
    <w:rsid w:val="006E378C"/>
    <w:rsid w:val="006E3EFC"/>
    <w:rsid w:val="006E4F47"/>
    <w:rsid w:val="006E572E"/>
    <w:rsid w:val="006E5C77"/>
    <w:rsid w:val="006E7EF8"/>
    <w:rsid w:val="006F014D"/>
    <w:rsid w:val="006F03C2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462"/>
    <w:rsid w:val="00702648"/>
    <w:rsid w:val="00703667"/>
    <w:rsid w:val="00703733"/>
    <w:rsid w:val="00704BC8"/>
    <w:rsid w:val="00705769"/>
    <w:rsid w:val="007057E2"/>
    <w:rsid w:val="007060B6"/>
    <w:rsid w:val="00706509"/>
    <w:rsid w:val="00706F13"/>
    <w:rsid w:val="00710FDB"/>
    <w:rsid w:val="00711D0C"/>
    <w:rsid w:val="0071206D"/>
    <w:rsid w:val="0071337B"/>
    <w:rsid w:val="00713510"/>
    <w:rsid w:val="007137C8"/>
    <w:rsid w:val="0071386F"/>
    <w:rsid w:val="00713AA2"/>
    <w:rsid w:val="00713DCB"/>
    <w:rsid w:val="007144AA"/>
    <w:rsid w:val="00714E4D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38"/>
    <w:rsid w:val="00723EDA"/>
    <w:rsid w:val="00724161"/>
    <w:rsid w:val="00724B56"/>
    <w:rsid w:val="00725AD4"/>
    <w:rsid w:val="00725C74"/>
    <w:rsid w:val="007267E3"/>
    <w:rsid w:val="00726D3C"/>
    <w:rsid w:val="00727C5E"/>
    <w:rsid w:val="00732755"/>
    <w:rsid w:val="007334C5"/>
    <w:rsid w:val="00733FED"/>
    <w:rsid w:val="0073493B"/>
    <w:rsid w:val="00734F6B"/>
    <w:rsid w:val="0073501F"/>
    <w:rsid w:val="00736236"/>
    <w:rsid w:val="00736A57"/>
    <w:rsid w:val="00736C4C"/>
    <w:rsid w:val="00740206"/>
    <w:rsid w:val="00740E5B"/>
    <w:rsid w:val="00741F1F"/>
    <w:rsid w:val="0074261B"/>
    <w:rsid w:val="0074276A"/>
    <w:rsid w:val="00744BEE"/>
    <w:rsid w:val="00744DB3"/>
    <w:rsid w:val="007458C1"/>
    <w:rsid w:val="007470BA"/>
    <w:rsid w:val="00747215"/>
    <w:rsid w:val="0074779B"/>
    <w:rsid w:val="0074782D"/>
    <w:rsid w:val="00747CC6"/>
    <w:rsid w:val="007509CB"/>
    <w:rsid w:val="0075139A"/>
    <w:rsid w:val="007517C5"/>
    <w:rsid w:val="00751A3C"/>
    <w:rsid w:val="00751B85"/>
    <w:rsid w:val="007525E4"/>
    <w:rsid w:val="00752A61"/>
    <w:rsid w:val="00752A8B"/>
    <w:rsid w:val="00752CA7"/>
    <w:rsid w:val="00753495"/>
    <w:rsid w:val="00753DD0"/>
    <w:rsid w:val="00754A9A"/>
    <w:rsid w:val="007550F0"/>
    <w:rsid w:val="00755ECC"/>
    <w:rsid w:val="00757B6F"/>
    <w:rsid w:val="0076068F"/>
    <w:rsid w:val="00761D46"/>
    <w:rsid w:val="00762580"/>
    <w:rsid w:val="00762E79"/>
    <w:rsid w:val="007636C8"/>
    <w:rsid w:val="007638FA"/>
    <w:rsid w:val="007649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3CD4"/>
    <w:rsid w:val="0077403D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1F88"/>
    <w:rsid w:val="007831D8"/>
    <w:rsid w:val="00783F20"/>
    <w:rsid w:val="00785663"/>
    <w:rsid w:val="00785746"/>
    <w:rsid w:val="00785F75"/>
    <w:rsid w:val="007862F3"/>
    <w:rsid w:val="00787B4B"/>
    <w:rsid w:val="00787EF9"/>
    <w:rsid w:val="007901E5"/>
    <w:rsid w:val="00790C54"/>
    <w:rsid w:val="00790EA3"/>
    <w:rsid w:val="00790F14"/>
    <w:rsid w:val="0079123C"/>
    <w:rsid w:val="0079198F"/>
    <w:rsid w:val="00791BBC"/>
    <w:rsid w:val="007936F9"/>
    <w:rsid w:val="00793982"/>
    <w:rsid w:val="0079539A"/>
    <w:rsid w:val="00795AFD"/>
    <w:rsid w:val="00795BF3"/>
    <w:rsid w:val="00797E2D"/>
    <w:rsid w:val="007A00DF"/>
    <w:rsid w:val="007A2DBB"/>
    <w:rsid w:val="007A358C"/>
    <w:rsid w:val="007A3955"/>
    <w:rsid w:val="007A4C88"/>
    <w:rsid w:val="007A4CAF"/>
    <w:rsid w:val="007A5BF4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54DD"/>
    <w:rsid w:val="007C609E"/>
    <w:rsid w:val="007C63FC"/>
    <w:rsid w:val="007D042F"/>
    <w:rsid w:val="007D1788"/>
    <w:rsid w:val="007D1DF8"/>
    <w:rsid w:val="007D2584"/>
    <w:rsid w:val="007D2FF2"/>
    <w:rsid w:val="007D3612"/>
    <w:rsid w:val="007D39F0"/>
    <w:rsid w:val="007D48EB"/>
    <w:rsid w:val="007D5EC8"/>
    <w:rsid w:val="007D5EF4"/>
    <w:rsid w:val="007D65EC"/>
    <w:rsid w:val="007D7314"/>
    <w:rsid w:val="007E07B2"/>
    <w:rsid w:val="007E16FC"/>
    <w:rsid w:val="007E1AF0"/>
    <w:rsid w:val="007E2A20"/>
    <w:rsid w:val="007E356A"/>
    <w:rsid w:val="007E367A"/>
    <w:rsid w:val="007E40EA"/>
    <w:rsid w:val="007E4F27"/>
    <w:rsid w:val="007E5821"/>
    <w:rsid w:val="007E7041"/>
    <w:rsid w:val="007E7082"/>
    <w:rsid w:val="007F12EF"/>
    <w:rsid w:val="007F181D"/>
    <w:rsid w:val="007F18FF"/>
    <w:rsid w:val="007F2D30"/>
    <w:rsid w:val="007F5278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2A01"/>
    <w:rsid w:val="00812A97"/>
    <w:rsid w:val="0081328A"/>
    <w:rsid w:val="0081346D"/>
    <w:rsid w:val="00814E49"/>
    <w:rsid w:val="0081612C"/>
    <w:rsid w:val="0081696D"/>
    <w:rsid w:val="008174D2"/>
    <w:rsid w:val="00820356"/>
    <w:rsid w:val="00820613"/>
    <w:rsid w:val="00820CDA"/>
    <w:rsid w:val="0082100C"/>
    <w:rsid w:val="00821982"/>
    <w:rsid w:val="00821987"/>
    <w:rsid w:val="00822842"/>
    <w:rsid w:val="00822B7C"/>
    <w:rsid w:val="00822D72"/>
    <w:rsid w:val="0082318D"/>
    <w:rsid w:val="00824290"/>
    <w:rsid w:val="0082509E"/>
    <w:rsid w:val="00825896"/>
    <w:rsid w:val="00826C31"/>
    <w:rsid w:val="008279C2"/>
    <w:rsid w:val="00827AA2"/>
    <w:rsid w:val="008306EF"/>
    <w:rsid w:val="008324B0"/>
    <w:rsid w:val="00834706"/>
    <w:rsid w:val="00834879"/>
    <w:rsid w:val="00834E15"/>
    <w:rsid w:val="00836A75"/>
    <w:rsid w:val="00837222"/>
    <w:rsid w:val="00837B60"/>
    <w:rsid w:val="00840811"/>
    <w:rsid w:val="00841689"/>
    <w:rsid w:val="00842883"/>
    <w:rsid w:val="008428E3"/>
    <w:rsid w:val="00842E69"/>
    <w:rsid w:val="00845A1C"/>
    <w:rsid w:val="00845F66"/>
    <w:rsid w:val="008463D7"/>
    <w:rsid w:val="008467D1"/>
    <w:rsid w:val="00846A2F"/>
    <w:rsid w:val="00846AF2"/>
    <w:rsid w:val="0084741A"/>
    <w:rsid w:val="008503BE"/>
    <w:rsid w:val="00850B46"/>
    <w:rsid w:val="00851BB1"/>
    <w:rsid w:val="0085276D"/>
    <w:rsid w:val="008529F2"/>
    <w:rsid w:val="0085341B"/>
    <w:rsid w:val="00854DB8"/>
    <w:rsid w:val="008555C4"/>
    <w:rsid w:val="00855B8D"/>
    <w:rsid w:val="0085697E"/>
    <w:rsid w:val="0085765D"/>
    <w:rsid w:val="00860CFD"/>
    <w:rsid w:val="00861297"/>
    <w:rsid w:val="0086161A"/>
    <w:rsid w:val="00862CA7"/>
    <w:rsid w:val="00865B15"/>
    <w:rsid w:val="00867FCC"/>
    <w:rsid w:val="008706A7"/>
    <w:rsid w:val="008708F2"/>
    <w:rsid w:val="008712BA"/>
    <w:rsid w:val="00871C9F"/>
    <w:rsid w:val="00871F4A"/>
    <w:rsid w:val="0087250C"/>
    <w:rsid w:val="0087294F"/>
    <w:rsid w:val="00872BC0"/>
    <w:rsid w:val="008735C3"/>
    <w:rsid w:val="0087362D"/>
    <w:rsid w:val="00875911"/>
    <w:rsid w:val="0088024A"/>
    <w:rsid w:val="00880719"/>
    <w:rsid w:val="0088158F"/>
    <w:rsid w:val="00882362"/>
    <w:rsid w:val="0088292E"/>
    <w:rsid w:val="008829A0"/>
    <w:rsid w:val="00885F1C"/>
    <w:rsid w:val="00885FE5"/>
    <w:rsid w:val="008869AA"/>
    <w:rsid w:val="00890908"/>
    <w:rsid w:val="00891819"/>
    <w:rsid w:val="00891F7A"/>
    <w:rsid w:val="00891FD6"/>
    <w:rsid w:val="00892083"/>
    <w:rsid w:val="0089208F"/>
    <w:rsid w:val="008935ED"/>
    <w:rsid w:val="00893A9A"/>
    <w:rsid w:val="00894466"/>
    <w:rsid w:val="00895052"/>
    <w:rsid w:val="00896121"/>
    <w:rsid w:val="0089652C"/>
    <w:rsid w:val="00896681"/>
    <w:rsid w:val="008966A5"/>
    <w:rsid w:val="008967C1"/>
    <w:rsid w:val="00897E0A"/>
    <w:rsid w:val="00897E41"/>
    <w:rsid w:val="008A120E"/>
    <w:rsid w:val="008A311B"/>
    <w:rsid w:val="008A3F92"/>
    <w:rsid w:val="008A41BC"/>
    <w:rsid w:val="008A4684"/>
    <w:rsid w:val="008A4BE1"/>
    <w:rsid w:val="008A4CBD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EFD"/>
    <w:rsid w:val="008C40EB"/>
    <w:rsid w:val="008C564F"/>
    <w:rsid w:val="008D085F"/>
    <w:rsid w:val="008D257B"/>
    <w:rsid w:val="008D3116"/>
    <w:rsid w:val="008D3291"/>
    <w:rsid w:val="008D32CD"/>
    <w:rsid w:val="008D390A"/>
    <w:rsid w:val="008D3C06"/>
    <w:rsid w:val="008D47FC"/>
    <w:rsid w:val="008D56DF"/>
    <w:rsid w:val="008D6861"/>
    <w:rsid w:val="008E0B62"/>
    <w:rsid w:val="008E1AF4"/>
    <w:rsid w:val="008E2F2B"/>
    <w:rsid w:val="008E4B76"/>
    <w:rsid w:val="008E533B"/>
    <w:rsid w:val="008E6328"/>
    <w:rsid w:val="008E65A4"/>
    <w:rsid w:val="008E6E20"/>
    <w:rsid w:val="008E701E"/>
    <w:rsid w:val="008E711B"/>
    <w:rsid w:val="008E7BAD"/>
    <w:rsid w:val="008F0A2C"/>
    <w:rsid w:val="008F1D2B"/>
    <w:rsid w:val="008F1D32"/>
    <w:rsid w:val="008F2903"/>
    <w:rsid w:val="008F2BE0"/>
    <w:rsid w:val="008F314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61BE"/>
    <w:rsid w:val="00916FDE"/>
    <w:rsid w:val="00917309"/>
    <w:rsid w:val="00920BC0"/>
    <w:rsid w:val="00923E6F"/>
    <w:rsid w:val="00925F61"/>
    <w:rsid w:val="00927454"/>
    <w:rsid w:val="00930368"/>
    <w:rsid w:val="00931790"/>
    <w:rsid w:val="0093272F"/>
    <w:rsid w:val="00932A70"/>
    <w:rsid w:val="0093306F"/>
    <w:rsid w:val="00933271"/>
    <w:rsid w:val="00934422"/>
    <w:rsid w:val="00934759"/>
    <w:rsid w:val="00935317"/>
    <w:rsid w:val="00935552"/>
    <w:rsid w:val="00935CE8"/>
    <w:rsid w:val="00935D22"/>
    <w:rsid w:val="00936536"/>
    <w:rsid w:val="00937D03"/>
    <w:rsid w:val="00940652"/>
    <w:rsid w:val="009410D8"/>
    <w:rsid w:val="009420D5"/>
    <w:rsid w:val="009424B6"/>
    <w:rsid w:val="00943722"/>
    <w:rsid w:val="009438B2"/>
    <w:rsid w:val="00944A50"/>
    <w:rsid w:val="00944F76"/>
    <w:rsid w:val="00946BE6"/>
    <w:rsid w:val="009509CA"/>
    <w:rsid w:val="00950F07"/>
    <w:rsid w:val="009514AE"/>
    <w:rsid w:val="0095153C"/>
    <w:rsid w:val="00951AB8"/>
    <w:rsid w:val="00952604"/>
    <w:rsid w:val="009526BD"/>
    <w:rsid w:val="009527A0"/>
    <w:rsid w:val="009527A7"/>
    <w:rsid w:val="00952EEA"/>
    <w:rsid w:val="00952F7F"/>
    <w:rsid w:val="00953397"/>
    <w:rsid w:val="0095353C"/>
    <w:rsid w:val="00953949"/>
    <w:rsid w:val="009543BF"/>
    <w:rsid w:val="009544AA"/>
    <w:rsid w:val="009546C7"/>
    <w:rsid w:val="00954853"/>
    <w:rsid w:val="0095516C"/>
    <w:rsid w:val="00955506"/>
    <w:rsid w:val="00955640"/>
    <w:rsid w:val="0095589E"/>
    <w:rsid w:val="009559DE"/>
    <w:rsid w:val="00955A44"/>
    <w:rsid w:val="00957B37"/>
    <w:rsid w:val="0096010B"/>
    <w:rsid w:val="00960C09"/>
    <w:rsid w:val="00961196"/>
    <w:rsid w:val="00961207"/>
    <w:rsid w:val="009636F5"/>
    <w:rsid w:val="00963793"/>
    <w:rsid w:val="0096424E"/>
    <w:rsid w:val="00964E1C"/>
    <w:rsid w:val="00966379"/>
    <w:rsid w:val="009667C2"/>
    <w:rsid w:val="00966ACB"/>
    <w:rsid w:val="00967A38"/>
    <w:rsid w:val="00967C4B"/>
    <w:rsid w:val="00971F94"/>
    <w:rsid w:val="0097283E"/>
    <w:rsid w:val="00972E63"/>
    <w:rsid w:val="00972FA2"/>
    <w:rsid w:val="00974A0F"/>
    <w:rsid w:val="0097524C"/>
    <w:rsid w:val="00975557"/>
    <w:rsid w:val="00977EF8"/>
    <w:rsid w:val="0098148B"/>
    <w:rsid w:val="00982407"/>
    <w:rsid w:val="009825A8"/>
    <w:rsid w:val="00983301"/>
    <w:rsid w:val="00983D0B"/>
    <w:rsid w:val="00984164"/>
    <w:rsid w:val="009864B3"/>
    <w:rsid w:val="00986954"/>
    <w:rsid w:val="00987078"/>
    <w:rsid w:val="009874CF"/>
    <w:rsid w:val="009879B8"/>
    <w:rsid w:val="00987BBF"/>
    <w:rsid w:val="00990192"/>
    <w:rsid w:val="0099026C"/>
    <w:rsid w:val="00990338"/>
    <w:rsid w:val="009911C2"/>
    <w:rsid w:val="009920A3"/>
    <w:rsid w:val="00993076"/>
    <w:rsid w:val="009945E2"/>
    <w:rsid w:val="0099591E"/>
    <w:rsid w:val="00995AE1"/>
    <w:rsid w:val="00996A79"/>
    <w:rsid w:val="0099763C"/>
    <w:rsid w:val="009A0FE4"/>
    <w:rsid w:val="009A1C5A"/>
    <w:rsid w:val="009A1FA8"/>
    <w:rsid w:val="009A217A"/>
    <w:rsid w:val="009A250D"/>
    <w:rsid w:val="009A29D5"/>
    <w:rsid w:val="009A332B"/>
    <w:rsid w:val="009A3566"/>
    <w:rsid w:val="009A38BB"/>
    <w:rsid w:val="009A3FBA"/>
    <w:rsid w:val="009A4704"/>
    <w:rsid w:val="009A74B0"/>
    <w:rsid w:val="009A74E7"/>
    <w:rsid w:val="009A7741"/>
    <w:rsid w:val="009B0D58"/>
    <w:rsid w:val="009B4394"/>
    <w:rsid w:val="009B492B"/>
    <w:rsid w:val="009B4DCE"/>
    <w:rsid w:val="009B5288"/>
    <w:rsid w:val="009B5C33"/>
    <w:rsid w:val="009B5DD3"/>
    <w:rsid w:val="009B699D"/>
    <w:rsid w:val="009B7E66"/>
    <w:rsid w:val="009C075F"/>
    <w:rsid w:val="009C08A9"/>
    <w:rsid w:val="009C13B4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64E"/>
    <w:rsid w:val="009D0781"/>
    <w:rsid w:val="009D110C"/>
    <w:rsid w:val="009D1294"/>
    <w:rsid w:val="009D1AD8"/>
    <w:rsid w:val="009D2FAB"/>
    <w:rsid w:val="009D3BCF"/>
    <w:rsid w:val="009D3DFA"/>
    <w:rsid w:val="009D3ED5"/>
    <w:rsid w:val="009D40D0"/>
    <w:rsid w:val="009D4A47"/>
    <w:rsid w:val="009D5524"/>
    <w:rsid w:val="009D556C"/>
    <w:rsid w:val="009D563B"/>
    <w:rsid w:val="009D5DBF"/>
    <w:rsid w:val="009D6296"/>
    <w:rsid w:val="009D657A"/>
    <w:rsid w:val="009D65ED"/>
    <w:rsid w:val="009D69A8"/>
    <w:rsid w:val="009D6A9A"/>
    <w:rsid w:val="009D6ABD"/>
    <w:rsid w:val="009D7A9D"/>
    <w:rsid w:val="009E0004"/>
    <w:rsid w:val="009E0F4B"/>
    <w:rsid w:val="009E2EE7"/>
    <w:rsid w:val="009E3D37"/>
    <w:rsid w:val="009E46C1"/>
    <w:rsid w:val="009E6B00"/>
    <w:rsid w:val="009E6D2C"/>
    <w:rsid w:val="009F0BA6"/>
    <w:rsid w:val="009F0D61"/>
    <w:rsid w:val="009F1136"/>
    <w:rsid w:val="009F1585"/>
    <w:rsid w:val="009F16AE"/>
    <w:rsid w:val="009F1ABC"/>
    <w:rsid w:val="009F2A78"/>
    <w:rsid w:val="009F3199"/>
    <w:rsid w:val="009F6436"/>
    <w:rsid w:val="009F6A6C"/>
    <w:rsid w:val="009F6C95"/>
    <w:rsid w:val="009F7294"/>
    <w:rsid w:val="009F7A0A"/>
    <w:rsid w:val="009F7AC3"/>
    <w:rsid w:val="009F7DD2"/>
    <w:rsid w:val="00A000A1"/>
    <w:rsid w:val="00A00857"/>
    <w:rsid w:val="00A01E95"/>
    <w:rsid w:val="00A0468E"/>
    <w:rsid w:val="00A0525C"/>
    <w:rsid w:val="00A05BDB"/>
    <w:rsid w:val="00A06204"/>
    <w:rsid w:val="00A10D08"/>
    <w:rsid w:val="00A11FB1"/>
    <w:rsid w:val="00A1298F"/>
    <w:rsid w:val="00A14A10"/>
    <w:rsid w:val="00A1597B"/>
    <w:rsid w:val="00A16382"/>
    <w:rsid w:val="00A1746D"/>
    <w:rsid w:val="00A1749B"/>
    <w:rsid w:val="00A17684"/>
    <w:rsid w:val="00A17CDC"/>
    <w:rsid w:val="00A21848"/>
    <w:rsid w:val="00A21F2B"/>
    <w:rsid w:val="00A22452"/>
    <w:rsid w:val="00A22DF4"/>
    <w:rsid w:val="00A239F4"/>
    <w:rsid w:val="00A240E7"/>
    <w:rsid w:val="00A25C7F"/>
    <w:rsid w:val="00A27030"/>
    <w:rsid w:val="00A271F0"/>
    <w:rsid w:val="00A30306"/>
    <w:rsid w:val="00A30C4F"/>
    <w:rsid w:val="00A3153C"/>
    <w:rsid w:val="00A33080"/>
    <w:rsid w:val="00A33D3F"/>
    <w:rsid w:val="00A34014"/>
    <w:rsid w:val="00A34CD1"/>
    <w:rsid w:val="00A35855"/>
    <w:rsid w:val="00A35A64"/>
    <w:rsid w:val="00A35BE7"/>
    <w:rsid w:val="00A362DF"/>
    <w:rsid w:val="00A374BC"/>
    <w:rsid w:val="00A41367"/>
    <w:rsid w:val="00A41EDC"/>
    <w:rsid w:val="00A43BFD"/>
    <w:rsid w:val="00A43DE1"/>
    <w:rsid w:val="00A440D2"/>
    <w:rsid w:val="00A44A78"/>
    <w:rsid w:val="00A44E5B"/>
    <w:rsid w:val="00A45087"/>
    <w:rsid w:val="00A458EB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651D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4E74"/>
    <w:rsid w:val="00A6640A"/>
    <w:rsid w:val="00A66E7A"/>
    <w:rsid w:val="00A67DBC"/>
    <w:rsid w:val="00A705F2"/>
    <w:rsid w:val="00A70F27"/>
    <w:rsid w:val="00A71152"/>
    <w:rsid w:val="00A7122D"/>
    <w:rsid w:val="00A72E7A"/>
    <w:rsid w:val="00A7475C"/>
    <w:rsid w:val="00A74D3C"/>
    <w:rsid w:val="00A74E52"/>
    <w:rsid w:val="00A74E6D"/>
    <w:rsid w:val="00A7562B"/>
    <w:rsid w:val="00A760A5"/>
    <w:rsid w:val="00A7638B"/>
    <w:rsid w:val="00A76B8A"/>
    <w:rsid w:val="00A811C1"/>
    <w:rsid w:val="00A81EDF"/>
    <w:rsid w:val="00A833AD"/>
    <w:rsid w:val="00A83562"/>
    <w:rsid w:val="00A83A71"/>
    <w:rsid w:val="00A84D58"/>
    <w:rsid w:val="00A84EE7"/>
    <w:rsid w:val="00A854A8"/>
    <w:rsid w:val="00A8675C"/>
    <w:rsid w:val="00A8686A"/>
    <w:rsid w:val="00A910BB"/>
    <w:rsid w:val="00A9272F"/>
    <w:rsid w:val="00A93BC2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A61"/>
    <w:rsid w:val="00AA5BC6"/>
    <w:rsid w:val="00AA6D8E"/>
    <w:rsid w:val="00AA6E66"/>
    <w:rsid w:val="00AB1B07"/>
    <w:rsid w:val="00AB2F95"/>
    <w:rsid w:val="00AB378A"/>
    <w:rsid w:val="00AB3B8E"/>
    <w:rsid w:val="00AB44A0"/>
    <w:rsid w:val="00AB4943"/>
    <w:rsid w:val="00AB512C"/>
    <w:rsid w:val="00AB60C5"/>
    <w:rsid w:val="00AB6F0A"/>
    <w:rsid w:val="00AB77F6"/>
    <w:rsid w:val="00AC13D3"/>
    <w:rsid w:val="00AC2457"/>
    <w:rsid w:val="00AC2F64"/>
    <w:rsid w:val="00AC30E6"/>
    <w:rsid w:val="00AC4E97"/>
    <w:rsid w:val="00AC679D"/>
    <w:rsid w:val="00AC6CDC"/>
    <w:rsid w:val="00AD0472"/>
    <w:rsid w:val="00AD1FC3"/>
    <w:rsid w:val="00AD26B9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E7762"/>
    <w:rsid w:val="00AE7E6E"/>
    <w:rsid w:val="00AF14F0"/>
    <w:rsid w:val="00AF1B37"/>
    <w:rsid w:val="00AF27C2"/>
    <w:rsid w:val="00AF28DF"/>
    <w:rsid w:val="00AF2BAD"/>
    <w:rsid w:val="00AF38A5"/>
    <w:rsid w:val="00AF3E85"/>
    <w:rsid w:val="00AF4706"/>
    <w:rsid w:val="00AF522A"/>
    <w:rsid w:val="00AF576F"/>
    <w:rsid w:val="00AF5846"/>
    <w:rsid w:val="00AF5D2B"/>
    <w:rsid w:val="00AF69EA"/>
    <w:rsid w:val="00AF6ED1"/>
    <w:rsid w:val="00AF72AA"/>
    <w:rsid w:val="00AF77B3"/>
    <w:rsid w:val="00AF7C22"/>
    <w:rsid w:val="00B00C8D"/>
    <w:rsid w:val="00B011F8"/>
    <w:rsid w:val="00B017DA"/>
    <w:rsid w:val="00B01841"/>
    <w:rsid w:val="00B01C79"/>
    <w:rsid w:val="00B038E9"/>
    <w:rsid w:val="00B04776"/>
    <w:rsid w:val="00B04BB5"/>
    <w:rsid w:val="00B04F6F"/>
    <w:rsid w:val="00B06E3F"/>
    <w:rsid w:val="00B07C50"/>
    <w:rsid w:val="00B107F3"/>
    <w:rsid w:val="00B12BB4"/>
    <w:rsid w:val="00B12E12"/>
    <w:rsid w:val="00B13D32"/>
    <w:rsid w:val="00B13FB1"/>
    <w:rsid w:val="00B14010"/>
    <w:rsid w:val="00B15496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2DCA"/>
    <w:rsid w:val="00B23816"/>
    <w:rsid w:val="00B23E94"/>
    <w:rsid w:val="00B25443"/>
    <w:rsid w:val="00B26316"/>
    <w:rsid w:val="00B26542"/>
    <w:rsid w:val="00B26FA3"/>
    <w:rsid w:val="00B27F9E"/>
    <w:rsid w:val="00B307BB"/>
    <w:rsid w:val="00B30A9E"/>
    <w:rsid w:val="00B31416"/>
    <w:rsid w:val="00B31CAB"/>
    <w:rsid w:val="00B32BB3"/>
    <w:rsid w:val="00B32C39"/>
    <w:rsid w:val="00B33469"/>
    <w:rsid w:val="00B347A0"/>
    <w:rsid w:val="00B35534"/>
    <w:rsid w:val="00B36263"/>
    <w:rsid w:val="00B369AA"/>
    <w:rsid w:val="00B36B52"/>
    <w:rsid w:val="00B40147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273"/>
    <w:rsid w:val="00B4683B"/>
    <w:rsid w:val="00B500A1"/>
    <w:rsid w:val="00B515DE"/>
    <w:rsid w:val="00B520D9"/>
    <w:rsid w:val="00B525B2"/>
    <w:rsid w:val="00B534DE"/>
    <w:rsid w:val="00B538BE"/>
    <w:rsid w:val="00B53A77"/>
    <w:rsid w:val="00B541B2"/>
    <w:rsid w:val="00B5480D"/>
    <w:rsid w:val="00B54909"/>
    <w:rsid w:val="00B57287"/>
    <w:rsid w:val="00B57AEE"/>
    <w:rsid w:val="00B61D47"/>
    <w:rsid w:val="00B62722"/>
    <w:rsid w:val="00B62C76"/>
    <w:rsid w:val="00B63288"/>
    <w:rsid w:val="00B64D74"/>
    <w:rsid w:val="00B64E63"/>
    <w:rsid w:val="00B65D0A"/>
    <w:rsid w:val="00B65FF0"/>
    <w:rsid w:val="00B662D1"/>
    <w:rsid w:val="00B671D4"/>
    <w:rsid w:val="00B67648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B59"/>
    <w:rsid w:val="00B75ED4"/>
    <w:rsid w:val="00B76647"/>
    <w:rsid w:val="00B80624"/>
    <w:rsid w:val="00B80D8F"/>
    <w:rsid w:val="00B8206B"/>
    <w:rsid w:val="00B84235"/>
    <w:rsid w:val="00B8469B"/>
    <w:rsid w:val="00B84AAC"/>
    <w:rsid w:val="00B84C69"/>
    <w:rsid w:val="00B85F17"/>
    <w:rsid w:val="00B87465"/>
    <w:rsid w:val="00B874AC"/>
    <w:rsid w:val="00B87F40"/>
    <w:rsid w:val="00B90496"/>
    <w:rsid w:val="00B90899"/>
    <w:rsid w:val="00B90BC6"/>
    <w:rsid w:val="00B91C27"/>
    <w:rsid w:val="00B91C68"/>
    <w:rsid w:val="00B91FC0"/>
    <w:rsid w:val="00B921A0"/>
    <w:rsid w:val="00B92A77"/>
    <w:rsid w:val="00B92BFF"/>
    <w:rsid w:val="00B92CC5"/>
    <w:rsid w:val="00B9319A"/>
    <w:rsid w:val="00B93C15"/>
    <w:rsid w:val="00B947D8"/>
    <w:rsid w:val="00B950F1"/>
    <w:rsid w:val="00B967ED"/>
    <w:rsid w:val="00B96A1B"/>
    <w:rsid w:val="00B972E9"/>
    <w:rsid w:val="00B9768A"/>
    <w:rsid w:val="00BA20B0"/>
    <w:rsid w:val="00BA334F"/>
    <w:rsid w:val="00BA4727"/>
    <w:rsid w:val="00BA5305"/>
    <w:rsid w:val="00BA5886"/>
    <w:rsid w:val="00BA5B25"/>
    <w:rsid w:val="00BA6779"/>
    <w:rsid w:val="00BA7F45"/>
    <w:rsid w:val="00BB1930"/>
    <w:rsid w:val="00BB23A8"/>
    <w:rsid w:val="00BB2614"/>
    <w:rsid w:val="00BB32FE"/>
    <w:rsid w:val="00BB3B2E"/>
    <w:rsid w:val="00BB408C"/>
    <w:rsid w:val="00BB41D7"/>
    <w:rsid w:val="00BB742A"/>
    <w:rsid w:val="00BB77E5"/>
    <w:rsid w:val="00BB7BFB"/>
    <w:rsid w:val="00BC25D0"/>
    <w:rsid w:val="00BC469B"/>
    <w:rsid w:val="00BC4CFC"/>
    <w:rsid w:val="00BC4DEE"/>
    <w:rsid w:val="00BC5B9E"/>
    <w:rsid w:val="00BD01C3"/>
    <w:rsid w:val="00BD0B83"/>
    <w:rsid w:val="00BD38E7"/>
    <w:rsid w:val="00BD7141"/>
    <w:rsid w:val="00BD7E55"/>
    <w:rsid w:val="00BD7E8C"/>
    <w:rsid w:val="00BD7F02"/>
    <w:rsid w:val="00BD7FA1"/>
    <w:rsid w:val="00BE0F59"/>
    <w:rsid w:val="00BE15D1"/>
    <w:rsid w:val="00BE2A30"/>
    <w:rsid w:val="00BE3008"/>
    <w:rsid w:val="00BE4A67"/>
    <w:rsid w:val="00BE57D4"/>
    <w:rsid w:val="00BE5D4D"/>
    <w:rsid w:val="00BE5DE8"/>
    <w:rsid w:val="00BE65D7"/>
    <w:rsid w:val="00BE6D3A"/>
    <w:rsid w:val="00BE7177"/>
    <w:rsid w:val="00BE7D96"/>
    <w:rsid w:val="00BF0C75"/>
    <w:rsid w:val="00BF0FB8"/>
    <w:rsid w:val="00BF22D8"/>
    <w:rsid w:val="00BF31DF"/>
    <w:rsid w:val="00BF379E"/>
    <w:rsid w:val="00BF411B"/>
    <w:rsid w:val="00BF4662"/>
    <w:rsid w:val="00BF6522"/>
    <w:rsid w:val="00C00785"/>
    <w:rsid w:val="00C02CE3"/>
    <w:rsid w:val="00C02D23"/>
    <w:rsid w:val="00C033E7"/>
    <w:rsid w:val="00C037C7"/>
    <w:rsid w:val="00C037F5"/>
    <w:rsid w:val="00C03D0E"/>
    <w:rsid w:val="00C04814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C80"/>
    <w:rsid w:val="00C1111C"/>
    <w:rsid w:val="00C11778"/>
    <w:rsid w:val="00C1197C"/>
    <w:rsid w:val="00C11A32"/>
    <w:rsid w:val="00C12BD4"/>
    <w:rsid w:val="00C12BEF"/>
    <w:rsid w:val="00C134BF"/>
    <w:rsid w:val="00C13C72"/>
    <w:rsid w:val="00C1455D"/>
    <w:rsid w:val="00C14A57"/>
    <w:rsid w:val="00C14BC0"/>
    <w:rsid w:val="00C15BDF"/>
    <w:rsid w:val="00C15DA5"/>
    <w:rsid w:val="00C16583"/>
    <w:rsid w:val="00C16C13"/>
    <w:rsid w:val="00C20189"/>
    <w:rsid w:val="00C20653"/>
    <w:rsid w:val="00C21565"/>
    <w:rsid w:val="00C21AAE"/>
    <w:rsid w:val="00C24D7D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5083"/>
    <w:rsid w:val="00C364C2"/>
    <w:rsid w:val="00C3721E"/>
    <w:rsid w:val="00C4100A"/>
    <w:rsid w:val="00C41395"/>
    <w:rsid w:val="00C422B2"/>
    <w:rsid w:val="00C433CD"/>
    <w:rsid w:val="00C43A18"/>
    <w:rsid w:val="00C43CFB"/>
    <w:rsid w:val="00C44D7D"/>
    <w:rsid w:val="00C46FE1"/>
    <w:rsid w:val="00C47C09"/>
    <w:rsid w:val="00C50D2C"/>
    <w:rsid w:val="00C51A71"/>
    <w:rsid w:val="00C522B3"/>
    <w:rsid w:val="00C5373B"/>
    <w:rsid w:val="00C53A76"/>
    <w:rsid w:val="00C54BCF"/>
    <w:rsid w:val="00C55115"/>
    <w:rsid w:val="00C55BA8"/>
    <w:rsid w:val="00C55D69"/>
    <w:rsid w:val="00C56B68"/>
    <w:rsid w:val="00C574DB"/>
    <w:rsid w:val="00C60446"/>
    <w:rsid w:val="00C61237"/>
    <w:rsid w:val="00C622C6"/>
    <w:rsid w:val="00C62C85"/>
    <w:rsid w:val="00C63D0A"/>
    <w:rsid w:val="00C63EEB"/>
    <w:rsid w:val="00C64954"/>
    <w:rsid w:val="00C655AD"/>
    <w:rsid w:val="00C66440"/>
    <w:rsid w:val="00C66C72"/>
    <w:rsid w:val="00C66CDF"/>
    <w:rsid w:val="00C704A7"/>
    <w:rsid w:val="00C704AA"/>
    <w:rsid w:val="00C70B68"/>
    <w:rsid w:val="00C718EC"/>
    <w:rsid w:val="00C728B7"/>
    <w:rsid w:val="00C72E85"/>
    <w:rsid w:val="00C73195"/>
    <w:rsid w:val="00C73BEB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EC3"/>
    <w:rsid w:val="00C900D1"/>
    <w:rsid w:val="00C92B12"/>
    <w:rsid w:val="00C92D21"/>
    <w:rsid w:val="00C93123"/>
    <w:rsid w:val="00C93D33"/>
    <w:rsid w:val="00C9481A"/>
    <w:rsid w:val="00C96599"/>
    <w:rsid w:val="00C974E6"/>
    <w:rsid w:val="00C97D0B"/>
    <w:rsid w:val="00CA0D08"/>
    <w:rsid w:val="00CA1255"/>
    <w:rsid w:val="00CA1C3A"/>
    <w:rsid w:val="00CA1EF5"/>
    <w:rsid w:val="00CA2AEE"/>
    <w:rsid w:val="00CA3983"/>
    <w:rsid w:val="00CA3BE1"/>
    <w:rsid w:val="00CA3FD2"/>
    <w:rsid w:val="00CA4650"/>
    <w:rsid w:val="00CA4B0A"/>
    <w:rsid w:val="00CA5C2D"/>
    <w:rsid w:val="00CA7BE8"/>
    <w:rsid w:val="00CB0B37"/>
    <w:rsid w:val="00CB0E50"/>
    <w:rsid w:val="00CB160E"/>
    <w:rsid w:val="00CB1F97"/>
    <w:rsid w:val="00CB2324"/>
    <w:rsid w:val="00CB2FB3"/>
    <w:rsid w:val="00CB52C3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257C"/>
    <w:rsid w:val="00CD3091"/>
    <w:rsid w:val="00CD4312"/>
    <w:rsid w:val="00CD477F"/>
    <w:rsid w:val="00CD79D6"/>
    <w:rsid w:val="00CD7B7C"/>
    <w:rsid w:val="00CE0135"/>
    <w:rsid w:val="00CE022D"/>
    <w:rsid w:val="00CE1098"/>
    <w:rsid w:val="00CE11E3"/>
    <w:rsid w:val="00CE1D37"/>
    <w:rsid w:val="00CE285E"/>
    <w:rsid w:val="00CE6C8C"/>
    <w:rsid w:val="00CF0A1F"/>
    <w:rsid w:val="00CF0BD3"/>
    <w:rsid w:val="00CF38D2"/>
    <w:rsid w:val="00CF4782"/>
    <w:rsid w:val="00CF51DD"/>
    <w:rsid w:val="00CF52BD"/>
    <w:rsid w:val="00CF6626"/>
    <w:rsid w:val="00CF69E9"/>
    <w:rsid w:val="00CF6E92"/>
    <w:rsid w:val="00CF73B9"/>
    <w:rsid w:val="00CF7E3E"/>
    <w:rsid w:val="00CF7EAE"/>
    <w:rsid w:val="00D007C1"/>
    <w:rsid w:val="00D01054"/>
    <w:rsid w:val="00D0275D"/>
    <w:rsid w:val="00D0294F"/>
    <w:rsid w:val="00D036AF"/>
    <w:rsid w:val="00D04D76"/>
    <w:rsid w:val="00D05313"/>
    <w:rsid w:val="00D05688"/>
    <w:rsid w:val="00D05B2B"/>
    <w:rsid w:val="00D06AF7"/>
    <w:rsid w:val="00D10EEB"/>
    <w:rsid w:val="00D14A6E"/>
    <w:rsid w:val="00D15B10"/>
    <w:rsid w:val="00D16117"/>
    <w:rsid w:val="00D16650"/>
    <w:rsid w:val="00D1677B"/>
    <w:rsid w:val="00D16DB4"/>
    <w:rsid w:val="00D2141F"/>
    <w:rsid w:val="00D2154C"/>
    <w:rsid w:val="00D21CD6"/>
    <w:rsid w:val="00D21DC6"/>
    <w:rsid w:val="00D22817"/>
    <w:rsid w:val="00D237DC"/>
    <w:rsid w:val="00D23C54"/>
    <w:rsid w:val="00D24CEF"/>
    <w:rsid w:val="00D2572C"/>
    <w:rsid w:val="00D2619C"/>
    <w:rsid w:val="00D27E71"/>
    <w:rsid w:val="00D30968"/>
    <w:rsid w:val="00D3119C"/>
    <w:rsid w:val="00D311D3"/>
    <w:rsid w:val="00D31502"/>
    <w:rsid w:val="00D31559"/>
    <w:rsid w:val="00D329C9"/>
    <w:rsid w:val="00D32B75"/>
    <w:rsid w:val="00D34105"/>
    <w:rsid w:val="00D349E2"/>
    <w:rsid w:val="00D34A86"/>
    <w:rsid w:val="00D35100"/>
    <w:rsid w:val="00D35D3A"/>
    <w:rsid w:val="00D405C5"/>
    <w:rsid w:val="00D41019"/>
    <w:rsid w:val="00D4291F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4C59"/>
    <w:rsid w:val="00D551DC"/>
    <w:rsid w:val="00D5542C"/>
    <w:rsid w:val="00D5589C"/>
    <w:rsid w:val="00D55E01"/>
    <w:rsid w:val="00D5718A"/>
    <w:rsid w:val="00D60C45"/>
    <w:rsid w:val="00D611D8"/>
    <w:rsid w:val="00D615AE"/>
    <w:rsid w:val="00D61E17"/>
    <w:rsid w:val="00D62FC6"/>
    <w:rsid w:val="00D6312F"/>
    <w:rsid w:val="00D63209"/>
    <w:rsid w:val="00D637B2"/>
    <w:rsid w:val="00D6390D"/>
    <w:rsid w:val="00D63CDD"/>
    <w:rsid w:val="00D64026"/>
    <w:rsid w:val="00D647E0"/>
    <w:rsid w:val="00D653AE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CEE"/>
    <w:rsid w:val="00D74DFA"/>
    <w:rsid w:val="00D751DC"/>
    <w:rsid w:val="00D75A8F"/>
    <w:rsid w:val="00D76C86"/>
    <w:rsid w:val="00D77081"/>
    <w:rsid w:val="00D80337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87A74"/>
    <w:rsid w:val="00D87B9D"/>
    <w:rsid w:val="00D908CC"/>
    <w:rsid w:val="00D90F3F"/>
    <w:rsid w:val="00D91ABB"/>
    <w:rsid w:val="00D92E31"/>
    <w:rsid w:val="00D93D72"/>
    <w:rsid w:val="00D9527F"/>
    <w:rsid w:val="00D95963"/>
    <w:rsid w:val="00D96ABC"/>
    <w:rsid w:val="00DA25EB"/>
    <w:rsid w:val="00DA337A"/>
    <w:rsid w:val="00DA356D"/>
    <w:rsid w:val="00DA3574"/>
    <w:rsid w:val="00DA4B6C"/>
    <w:rsid w:val="00DA4C49"/>
    <w:rsid w:val="00DA7CC5"/>
    <w:rsid w:val="00DB0099"/>
    <w:rsid w:val="00DB023A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BAB"/>
    <w:rsid w:val="00DB6C6E"/>
    <w:rsid w:val="00DB7F35"/>
    <w:rsid w:val="00DC0F1D"/>
    <w:rsid w:val="00DC1DFA"/>
    <w:rsid w:val="00DC2730"/>
    <w:rsid w:val="00DC2D1A"/>
    <w:rsid w:val="00DC2F9A"/>
    <w:rsid w:val="00DC3FF3"/>
    <w:rsid w:val="00DC4039"/>
    <w:rsid w:val="00DC533E"/>
    <w:rsid w:val="00DC7537"/>
    <w:rsid w:val="00DD057C"/>
    <w:rsid w:val="00DD0BF4"/>
    <w:rsid w:val="00DD1B5A"/>
    <w:rsid w:val="00DD211F"/>
    <w:rsid w:val="00DD35DC"/>
    <w:rsid w:val="00DD56BC"/>
    <w:rsid w:val="00DD60E6"/>
    <w:rsid w:val="00DD6B78"/>
    <w:rsid w:val="00DD751C"/>
    <w:rsid w:val="00DD7530"/>
    <w:rsid w:val="00DE03AA"/>
    <w:rsid w:val="00DE2C48"/>
    <w:rsid w:val="00DE353D"/>
    <w:rsid w:val="00DE4373"/>
    <w:rsid w:val="00DE475F"/>
    <w:rsid w:val="00DE484B"/>
    <w:rsid w:val="00DE4D28"/>
    <w:rsid w:val="00DE62E8"/>
    <w:rsid w:val="00DE6576"/>
    <w:rsid w:val="00DE65FA"/>
    <w:rsid w:val="00DE720E"/>
    <w:rsid w:val="00DE7214"/>
    <w:rsid w:val="00DE73DF"/>
    <w:rsid w:val="00DE79C5"/>
    <w:rsid w:val="00DE7B36"/>
    <w:rsid w:val="00DE7D3C"/>
    <w:rsid w:val="00DE7D81"/>
    <w:rsid w:val="00DF0B2E"/>
    <w:rsid w:val="00DF1931"/>
    <w:rsid w:val="00DF19ED"/>
    <w:rsid w:val="00DF1A82"/>
    <w:rsid w:val="00DF469F"/>
    <w:rsid w:val="00DF507C"/>
    <w:rsid w:val="00DF56DA"/>
    <w:rsid w:val="00DF659A"/>
    <w:rsid w:val="00DF6F80"/>
    <w:rsid w:val="00E0088E"/>
    <w:rsid w:val="00E00E2D"/>
    <w:rsid w:val="00E01617"/>
    <w:rsid w:val="00E02F41"/>
    <w:rsid w:val="00E03233"/>
    <w:rsid w:val="00E033CE"/>
    <w:rsid w:val="00E0474C"/>
    <w:rsid w:val="00E04815"/>
    <w:rsid w:val="00E05A65"/>
    <w:rsid w:val="00E05BBA"/>
    <w:rsid w:val="00E06DD1"/>
    <w:rsid w:val="00E12F6F"/>
    <w:rsid w:val="00E14274"/>
    <w:rsid w:val="00E143A4"/>
    <w:rsid w:val="00E143E4"/>
    <w:rsid w:val="00E14F3D"/>
    <w:rsid w:val="00E15128"/>
    <w:rsid w:val="00E16046"/>
    <w:rsid w:val="00E1614A"/>
    <w:rsid w:val="00E16CB1"/>
    <w:rsid w:val="00E16D7C"/>
    <w:rsid w:val="00E179F1"/>
    <w:rsid w:val="00E20C36"/>
    <w:rsid w:val="00E21A89"/>
    <w:rsid w:val="00E22FBF"/>
    <w:rsid w:val="00E23F14"/>
    <w:rsid w:val="00E26697"/>
    <w:rsid w:val="00E26841"/>
    <w:rsid w:val="00E2753F"/>
    <w:rsid w:val="00E307BB"/>
    <w:rsid w:val="00E31647"/>
    <w:rsid w:val="00E31D96"/>
    <w:rsid w:val="00E32EDB"/>
    <w:rsid w:val="00E32F83"/>
    <w:rsid w:val="00E3338E"/>
    <w:rsid w:val="00E3345B"/>
    <w:rsid w:val="00E338CE"/>
    <w:rsid w:val="00E343EE"/>
    <w:rsid w:val="00E3531E"/>
    <w:rsid w:val="00E414A5"/>
    <w:rsid w:val="00E41DA0"/>
    <w:rsid w:val="00E41E78"/>
    <w:rsid w:val="00E42211"/>
    <w:rsid w:val="00E424D7"/>
    <w:rsid w:val="00E425E3"/>
    <w:rsid w:val="00E42C80"/>
    <w:rsid w:val="00E43180"/>
    <w:rsid w:val="00E4436F"/>
    <w:rsid w:val="00E44374"/>
    <w:rsid w:val="00E4494E"/>
    <w:rsid w:val="00E44BE2"/>
    <w:rsid w:val="00E471B8"/>
    <w:rsid w:val="00E475F5"/>
    <w:rsid w:val="00E4767C"/>
    <w:rsid w:val="00E50C0F"/>
    <w:rsid w:val="00E50FDA"/>
    <w:rsid w:val="00E511D1"/>
    <w:rsid w:val="00E52CC9"/>
    <w:rsid w:val="00E53CAC"/>
    <w:rsid w:val="00E5433D"/>
    <w:rsid w:val="00E571D3"/>
    <w:rsid w:val="00E61F2D"/>
    <w:rsid w:val="00E62ECE"/>
    <w:rsid w:val="00E6383C"/>
    <w:rsid w:val="00E64C51"/>
    <w:rsid w:val="00E656FD"/>
    <w:rsid w:val="00E65D83"/>
    <w:rsid w:val="00E65DB7"/>
    <w:rsid w:val="00E66208"/>
    <w:rsid w:val="00E66EA8"/>
    <w:rsid w:val="00E671E9"/>
    <w:rsid w:val="00E728AE"/>
    <w:rsid w:val="00E72EB0"/>
    <w:rsid w:val="00E7346B"/>
    <w:rsid w:val="00E74084"/>
    <w:rsid w:val="00E7465C"/>
    <w:rsid w:val="00E74E4C"/>
    <w:rsid w:val="00E755E4"/>
    <w:rsid w:val="00E77D55"/>
    <w:rsid w:val="00E77EA9"/>
    <w:rsid w:val="00E81276"/>
    <w:rsid w:val="00E81763"/>
    <w:rsid w:val="00E81B3B"/>
    <w:rsid w:val="00E82463"/>
    <w:rsid w:val="00E837EA"/>
    <w:rsid w:val="00E83C1D"/>
    <w:rsid w:val="00E855E2"/>
    <w:rsid w:val="00E865B9"/>
    <w:rsid w:val="00E86624"/>
    <w:rsid w:val="00E9119A"/>
    <w:rsid w:val="00E9137B"/>
    <w:rsid w:val="00E91BD6"/>
    <w:rsid w:val="00E91D56"/>
    <w:rsid w:val="00E91F0A"/>
    <w:rsid w:val="00E91FF2"/>
    <w:rsid w:val="00E9380F"/>
    <w:rsid w:val="00E947AB"/>
    <w:rsid w:val="00E94C63"/>
    <w:rsid w:val="00E95861"/>
    <w:rsid w:val="00E961F5"/>
    <w:rsid w:val="00E96FF4"/>
    <w:rsid w:val="00E975D7"/>
    <w:rsid w:val="00E9760C"/>
    <w:rsid w:val="00EA06DF"/>
    <w:rsid w:val="00EA09E8"/>
    <w:rsid w:val="00EA2457"/>
    <w:rsid w:val="00EA2C41"/>
    <w:rsid w:val="00EA2C6F"/>
    <w:rsid w:val="00EA3562"/>
    <w:rsid w:val="00EA39AB"/>
    <w:rsid w:val="00EA4587"/>
    <w:rsid w:val="00EA4A21"/>
    <w:rsid w:val="00EA4D0E"/>
    <w:rsid w:val="00EA794C"/>
    <w:rsid w:val="00EB0A72"/>
    <w:rsid w:val="00EB0E4A"/>
    <w:rsid w:val="00EB1EE1"/>
    <w:rsid w:val="00EB27F2"/>
    <w:rsid w:val="00EB2DEC"/>
    <w:rsid w:val="00EB3739"/>
    <w:rsid w:val="00EB5E84"/>
    <w:rsid w:val="00EB5F18"/>
    <w:rsid w:val="00EB6530"/>
    <w:rsid w:val="00EB790B"/>
    <w:rsid w:val="00EB7E82"/>
    <w:rsid w:val="00EC4013"/>
    <w:rsid w:val="00EC53E9"/>
    <w:rsid w:val="00EC5E00"/>
    <w:rsid w:val="00EC64D2"/>
    <w:rsid w:val="00EC6807"/>
    <w:rsid w:val="00EC6EED"/>
    <w:rsid w:val="00EC79AF"/>
    <w:rsid w:val="00EC7EF7"/>
    <w:rsid w:val="00ED1305"/>
    <w:rsid w:val="00ED2574"/>
    <w:rsid w:val="00ED2D42"/>
    <w:rsid w:val="00ED2F93"/>
    <w:rsid w:val="00ED2FE2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2E1C"/>
    <w:rsid w:val="00EE3254"/>
    <w:rsid w:val="00EE3CB2"/>
    <w:rsid w:val="00EE5C5E"/>
    <w:rsid w:val="00EE6097"/>
    <w:rsid w:val="00EE680E"/>
    <w:rsid w:val="00EE6FA3"/>
    <w:rsid w:val="00EE7E67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F8D"/>
    <w:rsid w:val="00F036B3"/>
    <w:rsid w:val="00F03B44"/>
    <w:rsid w:val="00F06BD5"/>
    <w:rsid w:val="00F104A2"/>
    <w:rsid w:val="00F10E14"/>
    <w:rsid w:val="00F11E40"/>
    <w:rsid w:val="00F1228A"/>
    <w:rsid w:val="00F12713"/>
    <w:rsid w:val="00F12DD3"/>
    <w:rsid w:val="00F12F1E"/>
    <w:rsid w:val="00F144B6"/>
    <w:rsid w:val="00F14588"/>
    <w:rsid w:val="00F14C7B"/>
    <w:rsid w:val="00F15B9F"/>
    <w:rsid w:val="00F17140"/>
    <w:rsid w:val="00F17681"/>
    <w:rsid w:val="00F17A5C"/>
    <w:rsid w:val="00F17DBC"/>
    <w:rsid w:val="00F17ED0"/>
    <w:rsid w:val="00F200AF"/>
    <w:rsid w:val="00F2024F"/>
    <w:rsid w:val="00F20BAD"/>
    <w:rsid w:val="00F20EA6"/>
    <w:rsid w:val="00F21086"/>
    <w:rsid w:val="00F2152A"/>
    <w:rsid w:val="00F22270"/>
    <w:rsid w:val="00F2331F"/>
    <w:rsid w:val="00F23589"/>
    <w:rsid w:val="00F23FC2"/>
    <w:rsid w:val="00F24E6E"/>
    <w:rsid w:val="00F27D24"/>
    <w:rsid w:val="00F27E29"/>
    <w:rsid w:val="00F301BF"/>
    <w:rsid w:val="00F30B40"/>
    <w:rsid w:val="00F30E1E"/>
    <w:rsid w:val="00F3184D"/>
    <w:rsid w:val="00F31B27"/>
    <w:rsid w:val="00F34203"/>
    <w:rsid w:val="00F34ACD"/>
    <w:rsid w:val="00F350F6"/>
    <w:rsid w:val="00F35775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2822"/>
    <w:rsid w:val="00F436E5"/>
    <w:rsid w:val="00F4374D"/>
    <w:rsid w:val="00F4397F"/>
    <w:rsid w:val="00F4453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3C8"/>
    <w:rsid w:val="00F55BB2"/>
    <w:rsid w:val="00F56750"/>
    <w:rsid w:val="00F56E2C"/>
    <w:rsid w:val="00F570F9"/>
    <w:rsid w:val="00F60377"/>
    <w:rsid w:val="00F60C9D"/>
    <w:rsid w:val="00F612DB"/>
    <w:rsid w:val="00F61338"/>
    <w:rsid w:val="00F62BB6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3133"/>
    <w:rsid w:val="00F731EF"/>
    <w:rsid w:val="00F737FC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2A3"/>
    <w:rsid w:val="00F82706"/>
    <w:rsid w:val="00F82DCC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692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4ADA"/>
    <w:rsid w:val="00FA66DB"/>
    <w:rsid w:val="00FA6BA9"/>
    <w:rsid w:val="00FA7939"/>
    <w:rsid w:val="00FA7D70"/>
    <w:rsid w:val="00FB2274"/>
    <w:rsid w:val="00FB280C"/>
    <w:rsid w:val="00FB3EA3"/>
    <w:rsid w:val="00FB4541"/>
    <w:rsid w:val="00FB474E"/>
    <w:rsid w:val="00FB727C"/>
    <w:rsid w:val="00FB798D"/>
    <w:rsid w:val="00FB7ECF"/>
    <w:rsid w:val="00FC011A"/>
    <w:rsid w:val="00FC0A0B"/>
    <w:rsid w:val="00FC21EB"/>
    <w:rsid w:val="00FC29E0"/>
    <w:rsid w:val="00FC2B67"/>
    <w:rsid w:val="00FC30CE"/>
    <w:rsid w:val="00FC31EB"/>
    <w:rsid w:val="00FC39FB"/>
    <w:rsid w:val="00FC3EC0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8DA"/>
    <w:rsid w:val="00FD5B73"/>
    <w:rsid w:val="00FD76F8"/>
    <w:rsid w:val="00FD7ABB"/>
    <w:rsid w:val="00FD7B6A"/>
    <w:rsid w:val="00FE0853"/>
    <w:rsid w:val="00FE0BC2"/>
    <w:rsid w:val="00FE149D"/>
    <w:rsid w:val="00FE20F7"/>
    <w:rsid w:val="00FE2B53"/>
    <w:rsid w:val="00FE390A"/>
    <w:rsid w:val="00FE4BDD"/>
    <w:rsid w:val="00FE6823"/>
    <w:rsid w:val="00FE7E28"/>
    <w:rsid w:val="00FF05A1"/>
    <w:rsid w:val="00FF063F"/>
    <w:rsid w:val="00FF1F68"/>
    <w:rsid w:val="00FF28BE"/>
    <w:rsid w:val="00FF2926"/>
    <w:rsid w:val="00FF3D53"/>
    <w:rsid w:val="00FF441A"/>
    <w:rsid w:val="00FF445C"/>
    <w:rsid w:val="00FF68C2"/>
    <w:rsid w:val="00FF7D2A"/>
    <w:rsid w:val="00FF7EAF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E59BA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1">
    <w:name w:val="annotation reference"/>
    <w:basedOn w:val="a0"/>
    <w:uiPriority w:val="99"/>
    <w:semiHidden/>
    <w:unhideWhenUsed/>
    <w:rsid w:val="005A1A6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1A68"/>
  </w:style>
  <w:style w:type="character" w:customStyle="1" w:styleId="af3">
    <w:name w:val="註解文字 字元"/>
    <w:basedOn w:val="a0"/>
    <w:link w:val="af2"/>
    <w:uiPriority w:val="99"/>
    <w:semiHidden/>
    <w:rsid w:val="005A1A68"/>
    <w:rPr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1A68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A1A68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drug-safety-update/erythromycin-caution-required-due-to-cardiac-risks-qt-interval-prolongation-drug-interaction-with-rivaroxab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erythromycin-update-on-known-risk-of-infantile-hypertrophic-pyloric-stenosi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32FAB-ECBA-4008-A124-F68D3810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0</TotalTime>
  <Pages>3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王麗雅</cp:lastModifiedBy>
  <cp:revision>2</cp:revision>
  <cp:lastPrinted>2021-01-25T05:55:00Z</cp:lastPrinted>
  <dcterms:created xsi:type="dcterms:W3CDTF">2021-02-01T02:21:00Z</dcterms:created>
  <dcterms:modified xsi:type="dcterms:W3CDTF">2021-02-01T02:21:00Z</dcterms:modified>
</cp:coreProperties>
</file>