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639" w:rsidRPr="00C57C97" w:rsidRDefault="00C57C97" w:rsidP="00707B8C">
      <w:pPr>
        <w:jc w:val="center"/>
        <w:rPr>
          <w:rFonts w:ascii="Times New Roman" w:eastAsia="標楷體" w:hAnsi="Times New Roman" w:cs="Times New Roman"/>
          <w:b/>
          <w:sz w:val="36"/>
          <w:szCs w:val="36"/>
        </w:rPr>
      </w:pPr>
      <w:r>
        <w:rPr>
          <w:rFonts w:ascii="Times New Roman" w:eastAsia="標楷體" w:hAnsi="Times New Roman" w:cs="Times New Roman"/>
          <w:b/>
          <w:sz w:val="36"/>
          <w:szCs w:val="36"/>
        </w:rPr>
        <w:t>F</w:t>
      </w:r>
      <w:r w:rsidRPr="00C57C97">
        <w:rPr>
          <w:rFonts w:ascii="Times New Roman" w:eastAsia="標楷體" w:hAnsi="Times New Roman" w:cs="Times New Roman"/>
          <w:b/>
          <w:sz w:val="36"/>
          <w:szCs w:val="36"/>
        </w:rPr>
        <w:t>ingolimod</w:t>
      </w:r>
      <w:r>
        <w:rPr>
          <w:rFonts w:ascii="Times New Roman" w:eastAsia="標楷體" w:hAnsi="Times New Roman" w:cs="Times New Roman" w:hint="eastAsia"/>
          <w:b/>
          <w:sz w:val="36"/>
          <w:szCs w:val="36"/>
        </w:rPr>
        <w:t>成分</w:t>
      </w:r>
      <w:r w:rsidRPr="00C57C97">
        <w:rPr>
          <w:rFonts w:ascii="Times New Roman" w:eastAsia="標楷體" w:hAnsi="Times New Roman" w:cs="Times New Roman"/>
          <w:b/>
          <w:sz w:val="36"/>
          <w:szCs w:val="36"/>
        </w:rPr>
        <w:t>藥品安全資訊風險溝通表</w:t>
      </w:r>
    </w:p>
    <w:p w:rsidR="00707B8C" w:rsidRPr="00147E19" w:rsidRDefault="00707B8C" w:rsidP="00707B8C">
      <w:pPr>
        <w:jc w:val="right"/>
        <w:rPr>
          <w:rFonts w:ascii="Times New Roman" w:eastAsia="標楷體" w:hAnsi="Times New Roman" w:cs="Times New Roman"/>
          <w:szCs w:val="24"/>
        </w:rPr>
      </w:pPr>
      <w:r w:rsidRPr="00147E19">
        <w:rPr>
          <w:rFonts w:ascii="Times New Roman" w:eastAsia="標楷體" w:hAnsi="Times New Roman" w:cs="Times New Roman"/>
          <w:szCs w:val="24"/>
        </w:rPr>
        <w:t>日期：</w:t>
      </w:r>
      <w:r w:rsidR="008E2F56">
        <w:rPr>
          <w:rFonts w:ascii="Times New Roman" w:eastAsia="標楷體" w:hAnsi="Times New Roman" w:cs="Times New Roman"/>
          <w:szCs w:val="24"/>
        </w:rPr>
        <w:t>10</w:t>
      </w:r>
      <w:r w:rsidR="008E2F56">
        <w:rPr>
          <w:rFonts w:ascii="Times New Roman" w:eastAsia="標楷體" w:hAnsi="Times New Roman" w:cs="Times New Roman" w:hint="eastAsia"/>
          <w:szCs w:val="24"/>
        </w:rPr>
        <w:t>9</w:t>
      </w:r>
      <w:r w:rsidR="00B54A9D">
        <w:rPr>
          <w:rFonts w:ascii="Times New Roman" w:eastAsia="標楷體" w:hAnsi="Times New Roman" w:cs="Times New Roman" w:hint="eastAsia"/>
          <w:szCs w:val="24"/>
        </w:rPr>
        <w:t>年</w:t>
      </w:r>
      <w:r w:rsidRPr="00147E19">
        <w:rPr>
          <w:rFonts w:ascii="Times New Roman" w:eastAsia="標楷體" w:hAnsi="Times New Roman" w:cs="Times New Roman"/>
          <w:szCs w:val="24"/>
        </w:rPr>
        <w:t>1</w:t>
      </w:r>
      <w:r w:rsidR="00071626">
        <w:rPr>
          <w:rFonts w:ascii="Times New Roman" w:eastAsia="標楷體" w:hAnsi="Times New Roman" w:cs="Times New Roman" w:hint="eastAsia"/>
          <w:szCs w:val="24"/>
        </w:rPr>
        <w:t>2</w:t>
      </w:r>
      <w:bookmarkStart w:id="0" w:name="_GoBack"/>
      <w:bookmarkEnd w:id="0"/>
      <w:r w:rsidR="00B54A9D">
        <w:rPr>
          <w:rFonts w:ascii="Times New Roman" w:eastAsia="標楷體" w:hAnsi="Times New Roman" w:cs="Times New Roman" w:hint="eastAsia"/>
          <w:szCs w:val="24"/>
        </w:rPr>
        <w:t>月</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7741"/>
      </w:tblGrid>
      <w:tr w:rsidR="00707B8C" w:rsidRPr="00147E19" w:rsidTr="00543FB1">
        <w:trPr>
          <w:trHeight w:val="333"/>
          <w:jc w:val="center"/>
        </w:trPr>
        <w:tc>
          <w:tcPr>
            <w:tcW w:w="1988" w:type="dxa"/>
            <w:vAlign w:val="center"/>
          </w:tcPr>
          <w:p w:rsidR="00707B8C" w:rsidRPr="00147E19" w:rsidRDefault="00707B8C" w:rsidP="00707B8C">
            <w:pPr>
              <w:jc w:val="center"/>
              <w:rPr>
                <w:rFonts w:ascii="Times New Roman" w:eastAsia="標楷體" w:hAnsi="Times New Roman" w:cs="Times New Roman"/>
                <w:szCs w:val="24"/>
              </w:rPr>
            </w:pPr>
            <w:r w:rsidRPr="00147E19">
              <w:rPr>
                <w:rFonts w:ascii="Times New Roman" w:eastAsia="標楷體" w:hAnsi="Times New Roman" w:cs="Times New Roman"/>
                <w:szCs w:val="24"/>
              </w:rPr>
              <w:t>藥品成分</w:t>
            </w:r>
          </w:p>
        </w:tc>
        <w:tc>
          <w:tcPr>
            <w:tcW w:w="7741" w:type="dxa"/>
          </w:tcPr>
          <w:p w:rsidR="00707B8C" w:rsidRPr="00147E19" w:rsidRDefault="00C57C97" w:rsidP="00147E19">
            <w:pPr>
              <w:widowControl/>
              <w:jc w:val="both"/>
              <w:outlineLvl w:val="0"/>
              <w:rPr>
                <w:rFonts w:ascii="Times New Roman" w:eastAsia="標楷體" w:hAnsi="Times New Roman" w:cs="Times New Roman"/>
                <w:bCs/>
                <w:color w:val="000000"/>
                <w:kern w:val="36"/>
                <w:szCs w:val="24"/>
                <w:lang w:bidi="hi-IN"/>
              </w:rPr>
            </w:pPr>
            <w:r w:rsidRPr="0057425C">
              <w:rPr>
                <w:rFonts w:ascii="Times New Roman" w:eastAsia="標楷體" w:hAnsi="Times New Roman" w:cs="Times New Roman"/>
                <w:color w:val="000000" w:themeColor="text1"/>
                <w:szCs w:val="24"/>
              </w:rPr>
              <w:t>Fingolimod</w:t>
            </w:r>
          </w:p>
        </w:tc>
      </w:tr>
      <w:tr w:rsidR="00707B8C" w:rsidRPr="00147E19" w:rsidTr="00543FB1">
        <w:trPr>
          <w:trHeight w:val="333"/>
          <w:jc w:val="center"/>
        </w:trPr>
        <w:tc>
          <w:tcPr>
            <w:tcW w:w="1988" w:type="dxa"/>
            <w:vAlign w:val="center"/>
          </w:tcPr>
          <w:p w:rsidR="00707B8C" w:rsidRPr="00147E19" w:rsidRDefault="00707B8C" w:rsidP="00707B8C">
            <w:pPr>
              <w:jc w:val="center"/>
              <w:rPr>
                <w:rFonts w:ascii="Times New Roman" w:eastAsia="標楷體" w:hAnsi="Times New Roman" w:cs="Times New Roman"/>
                <w:szCs w:val="24"/>
              </w:rPr>
            </w:pPr>
            <w:r w:rsidRPr="00147E19">
              <w:rPr>
                <w:rFonts w:ascii="Times New Roman" w:eastAsia="標楷體" w:hAnsi="Times New Roman" w:cs="Times New Roman"/>
                <w:szCs w:val="24"/>
              </w:rPr>
              <w:t>藥品名稱</w:t>
            </w:r>
          </w:p>
          <w:p w:rsidR="00707B8C" w:rsidRPr="00147E19" w:rsidRDefault="00707B8C" w:rsidP="00707B8C">
            <w:pPr>
              <w:jc w:val="center"/>
              <w:rPr>
                <w:rFonts w:ascii="Times New Roman" w:eastAsia="標楷體" w:hAnsi="Times New Roman" w:cs="Times New Roman"/>
                <w:szCs w:val="24"/>
              </w:rPr>
            </w:pPr>
            <w:r w:rsidRPr="00147E19">
              <w:rPr>
                <w:rFonts w:ascii="Times New Roman" w:eastAsia="標楷體" w:hAnsi="Times New Roman" w:cs="Times New Roman"/>
                <w:szCs w:val="24"/>
              </w:rPr>
              <w:t>及許可證字號</w:t>
            </w:r>
          </w:p>
        </w:tc>
        <w:tc>
          <w:tcPr>
            <w:tcW w:w="7741" w:type="dxa"/>
          </w:tcPr>
          <w:p w:rsidR="00095F30" w:rsidRDefault="00C57C97" w:rsidP="00B71B62">
            <w:pPr>
              <w:widowControl/>
              <w:jc w:val="both"/>
              <w:outlineLvl w:val="0"/>
              <w:rPr>
                <w:rFonts w:ascii="Times New Roman" w:eastAsia="標楷體" w:hAnsi="Times New Roman" w:cs="Times New Roman"/>
                <w:color w:val="000000"/>
                <w:kern w:val="36"/>
                <w:szCs w:val="24"/>
                <w:lang w:bidi="hi-IN"/>
              </w:rPr>
            </w:pPr>
            <w:r w:rsidRPr="0057425C">
              <w:rPr>
                <w:rFonts w:ascii="Times New Roman" w:eastAsia="標楷體" w:hAnsi="Times New Roman" w:cs="Times New Roman"/>
                <w:color w:val="000000" w:themeColor="text1"/>
                <w:szCs w:val="24"/>
              </w:rPr>
              <w:t>衛生福利部核准含</w:t>
            </w:r>
            <w:r w:rsidRPr="0057425C">
              <w:rPr>
                <w:rFonts w:ascii="Times New Roman" w:eastAsia="標楷體" w:hAnsi="Times New Roman" w:cs="Times New Roman"/>
                <w:color w:val="000000" w:themeColor="text1"/>
                <w:szCs w:val="24"/>
              </w:rPr>
              <w:t>fingolimod</w:t>
            </w:r>
            <w:r w:rsidRPr="0057425C">
              <w:rPr>
                <w:rFonts w:ascii="Times New Roman" w:eastAsia="標楷體" w:hAnsi="Times New Roman" w:cs="Times New Roman"/>
                <w:color w:val="000000" w:themeColor="text1"/>
                <w:szCs w:val="24"/>
              </w:rPr>
              <w:t>成分藥品製劑許可證共</w:t>
            </w:r>
            <w:r>
              <w:rPr>
                <w:rFonts w:ascii="Times New Roman" w:eastAsia="標楷體" w:hAnsi="Times New Roman" w:cs="Times New Roman"/>
                <w:color w:val="000000" w:themeColor="text1"/>
                <w:szCs w:val="24"/>
              </w:rPr>
              <w:t>2</w:t>
            </w:r>
            <w:r w:rsidRPr="0057425C">
              <w:rPr>
                <w:rFonts w:ascii="Times New Roman" w:eastAsia="標楷體" w:hAnsi="Times New Roman" w:cs="Times New Roman"/>
                <w:color w:val="000000" w:themeColor="text1"/>
                <w:szCs w:val="24"/>
              </w:rPr>
              <w:t>張</w:t>
            </w:r>
            <w:r w:rsidR="00707B8C" w:rsidRPr="00147E19">
              <w:rPr>
                <w:rFonts w:ascii="Times New Roman" w:eastAsia="標楷體" w:hAnsi="Times New Roman" w:cs="Times New Roman"/>
                <w:color w:val="000000"/>
                <w:kern w:val="36"/>
                <w:szCs w:val="24"/>
                <w:lang w:bidi="hi-IN"/>
              </w:rPr>
              <w:t>。</w:t>
            </w:r>
          </w:p>
          <w:p w:rsidR="00707B8C" w:rsidRPr="00147E19" w:rsidRDefault="00707B8C" w:rsidP="00095F30">
            <w:pPr>
              <w:widowControl/>
              <w:jc w:val="both"/>
              <w:outlineLvl w:val="0"/>
              <w:rPr>
                <w:rFonts w:ascii="Times New Roman" w:eastAsia="標楷體" w:hAnsi="Times New Roman" w:cs="Times New Roman"/>
                <w:color w:val="000000"/>
                <w:kern w:val="36"/>
                <w:szCs w:val="24"/>
                <w:lang w:bidi="hi-IN"/>
              </w:rPr>
            </w:pPr>
            <w:r w:rsidRPr="00147E19">
              <w:rPr>
                <w:rFonts w:ascii="Times New Roman" w:eastAsia="標楷體" w:hAnsi="Times New Roman" w:cs="Times New Roman"/>
                <w:color w:val="000000"/>
                <w:kern w:val="36"/>
                <w:szCs w:val="24"/>
                <w:lang w:bidi="hi-IN"/>
              </w:rPr>
              <w:t>查詢網址</w:t>
            </w:r>
            <w:r w:rsidR="00095F30">
              <w:rPr>
                <w:rFonts w:ascii="Times New Roman" w:eastAsia="標楷體" w:hAnsi="Times New Roman" w:cs="Times New Roman" w:hint="eastAsia"/>
                <w:color w:val="000000"/>
                <w:kern w:val="36"/>
                <w:szCs w:val="24"/>
                <w:lang w:bidi="hi-IN"/>
              </w:rPr>
              <w:t>：</w:t>
            </w:r>
            <w:hyperlink r:id="rId8" w:history="1">
              <w:r w:rsidRPr="00147E19">
                <w:rPr>
                  <w:rFonts w:ascii="Times New Roman" w:eastAsia="標楷體" w:hAnsi="Times New Roman" w:cs="Times New Roman"/>
                  <w:bCs/>
                  <w:color w:val="0000FF"/>
                  <w:kern w:val="36"/>
                  <w:szCs w:val="24"/>
                  <w:u w:val="single"/>
                  <w:lang w:bidi="hi-IN"/>
                </w:rPr>
                <w:t>https://www.fda.gov.tw/mlms/H0001.aspx</w:t>
              </w:r>
            </w:hyperlink>
          </w:p>
        </w:tc>
      </w:tr>
      <w:tr w:rsidR="00707B8C" w:rsidRPr="00147E19" w:rsidTr="00543FB1">
        <w:trPr>
          <w:trHeight w:val="333"/>
          <w:jc w:val="center"/>
        </w:trPr>
        <w:tc>
          <w:tcPr>
            <w:tcW w:w="1988" w:type="dxa"/>
            <w:vAlign w:val="center"/>
          </w:tcPr>
          <w:p w:rsidR="00707B8C" w:rsidRPr="00147E19" w:rsidRDefault="00707B8C" w:rsidP="00707B8C">
            <w:pPr>
              <w:jc w:val="center"/>
              <w:rPr>
                <w:rFonts w:ascii="Times New Roman" w:eastAsia="標楷體" w:hAnsi="Times New Roman" w:cs="Times New Roman"/>
                <w:szCs w:val="24"/>
              </w:rPr>
            </w:pPr>
            <w:r w:rsidRPr="00147E19">
              <w:rPr>
                <w:rFonts w:ascii="Times New Roman" w:eastAsia="標楷體" w:hAnsi="Times New Roman" w:cs="Times New Roman"/>
                <w:color w:val="000000"/>
                <w:szCs w:val="24"/>
              </w:rPr>
              <w:t>適應症</w:t>
            </w:r>
          </w:p>
        </w:tc>
        <w:tc>
          <w:tcPr>
            <w:tcW w:w="7741" w:type="dxa"/>
          </w:tcPr>
          <w:p w:rsidR="005251B1" w:rsidRPr="0025369A" w:rsidRDefault="0025369A" w:rsidP="0025369A">
            <w:pPr>
              <w:tabs>
                <w:tab w:val="left" w:pos="1010"/>
              </w:tabs>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詳如附件</w:t>
            </w:r>
          </w:p>
        </w:tc>
      </w:tr>
      <w:tr w:rsidR="00707B8C" w:rsidRPr="00147E19" w:rsidTr="00543FB1">
        <w:trPr>
          <w:jc w:val="center"/>
        </w:trPr>
        <w:tc>
          <w:tcPr>
            <w:tcW w:w="1988" w:type="dxa"/>
            <w:vAlign w:val="center"/>
          </w:tcPr>
          <w:p w:rsidR="00707B8C" w:rsidRPr="00147E19" w:rsidRDefault="00707B8C" w:rsidP="00707B8C">
            <w:pPr>
              <w:jc w:val="center"/>
              <w:rPr>
                <w:rFonts w:ascii="Times New Roman" w:eastAsia="標楷體" w:hAnsi="Times New Roman" w:cs="Times New Roman"/>
                <w:szCs w:val="24"/>
              </w:rPr>
            </w:pPr>
            <w:r w:rsidRPr="00147E19">
              <w:rPr>
                <w:rFonts w:ascii="Times New Roman" w:eastAsia="標楷體" w:hAnsi="Times New Roman" w:cs="Times New Roman"/>
                <w:szCs w:val="24"/>
              </w:rPr>
              <w:t>藥理作用機轉</w:t>
            </w:r>
          </w:p>
        </w:tc>
        <w:tc>
          <w:tcPr>
            <w:tcW w:w="7741" w:type="dxa"/>
          </w:tcPr>
          <w:p w:rsidR="00707B8C" w:rsidRPr="00147E19" w:rsidRDefault="0025369A" w:rsidP="007E664C">
            <w:pPr>
              <w:autoSpaceDE w:val="0"/>
              <w:autoSpaceDN w:val="0"/>
              <w:adjustRightInd w:val="0"/>
              <w:jc w:val="both"/>
              <w:rPr>
                <w:rFonts w:ascii="Times New Roman" w:eastAsia="標楷體" w:hAnsi="Times New Roman" w:cs="Times New Roman"/>
                <w:color w:val="000000"/>
                <w:szCs w:val="24"/>
                <w:shd w:val="clear" w:color="auto" w:fill="FFFFFF"/>
              </w:rPr>
            </w:pPr>
            <w:r w:rsidRPr="0025369A">
              <w:rPr>
                <w:rFonts w:ascii="Times New Roman" w:eastAsia="標楷體" w:hAnsi="Times New Roman"/>
                <w:color w:val="000000" w:themeColor="text1"/>
                <w:kern w:val="36"/>
                <w:szCs w:val="24"/>
                <w:lang w:bidi="hi-IN"/>
              </w:rPr>
              <w:t xml:space="preserve">Fingolimod </w:t>
            </w:r>
            <w:r w:rsidRPr="0025369A">
              <w:rPr>
                <w:rFonts w:ascii="Times New Roman" w:eastAsia="標楷體" w:hAnsi="Times New Roman"/>
                <w:color w:val="000000" w:themeColor="text1"/>
                <w:kern w:val="36"/>
                <w:szCs w:val="24"/>
                <w:lang w:bidi="hi-IN"/>
              </w:rPr>
              <w:t>是由鞘氨</w:t>
            </w:r>
            <w:proofErr w:type="gramStart"/>
            <w:r w:rsidRPr="0025369A">
              <w:rPr>
                <w:rFonts w:ascii="Times New Roman" w:eastAsia="標楷體" w:hAnsi="Times New Roman"/>
                <w:color w:val="000000" w:themeColor="text1"/>
                <w:kern w:val="36"/>
                <w:szCs w:val="24"/>
                <w:lang w:bidi="hi-IN"/>
              </w:rPr>
              <w:t>酸激酶</w:t>
            </w:r>
            <w:proofErr w:type="gramEnd"/>
            <w:r w:rsidRPr="0025369A">
              <w:rPr>
                <w:rFonts w:ascii="Times New Roman" w:eastAsia="標楷體" w:hAnsi="Times New Roman"/>
                <w:color w:val="000000" w:themeColor="text1"/>
                <w:kern w:val="36"/>
                <w:szCs w:val="24"/>
                <w:lang w:bidi="hi-IN"/>
              </w:rPr>
              <w:t xml:space="preserve"> (sphingosine kinase) </w:t>
            </w:r>
            <w:r w:rsidRPr="0025369A">
              <w:rPr>
                <w:rFonts w:ascii="Times New Roman" w:eastAsia="標楷體" w:hAnsi="Times New Roman"/>
                <w:color w:val="000000" w:themeColor="text1"/>
                <w:kern w:val="36"/>
                <w:szCs w:val="24"/>
                <w:lang w:bidi="hi-IN"/>
              </w:rPr>
              <w:t>代謝成活性代謝物</w:t>
            </w:r>
            <w:r w:rsidRPr="0025369A">
              <w:rPr>
                <w:rFonts w:ascii="Times New Roman" w:eastAsia="標楷體" w:hAnsi="Times New Roman"/>
                <w:color w:val="000000" w:themeColor="text1"/>
                <w:kern w:val="36"/>
                <w:szCs w:val="24"/>
                <w:lang w:bidi="hi-IN"/>
              </w:rPr>
              <w:t xml:space="preserve"> fingolimod phosphate</w:t>
            </w:r>
            <w:r w:rsidRPr="0025369A">
              <w:rPr>
                <w:rFonts w:ascii="Times New Roman" w:eastAsia="標楷體" w:hAnsi="Times New Roman"/>
                <w:color w:val="000000" w:themeColor="text1"/>
                <w:kern w:val="36"/>
                <w:szCs w:val="24"/>
                <w:lang w:bidi="hi-IN"/>
              </w:rPr>
              <w:t>。</w:t>
            </w:r>
            <w:r>
              <w:rPr>
                <w:rFonts w:ascii="Times New Roman" w:eastAsia="標楷體" w:hAnsi="Times New Roman"/>
                <w:color w:val="000000" w:themeColor="text1"/>
                <w:kern w:val="36"/>
                <w:szCs w:val="24"/>
                <w:lang w:bidi="hi-IN"/>
              </w:rPr>
              <w:t>Fingolimod-phosphate</w:t>
            </w:r>
            <w:r w:rsidRPr="0025369A">
              <w:rPr>
                <w:rFonts w:ascii="Times New Roman" w:eastAsia="標楷體" w:hAnsi="Times New Roman"/>
                <w:color w:val="000000" w:themeColor="text1"/>
                <w:kern w:val="36"/>
                <w:szCs w:val="24"/>
                <w:lang w:bidi="hi-IN"/>
              </w:rPr>
              <w:t>是一種鞘氨酸</w:t>
            </w:r>
            <w:r w:rsidRPr="0025369A">
              <w:rPr>
                <w:rFonts w:ascii="Times New Roman" w:eastAsia="標楷體" w:hAnsi="Times New Roman"/>
                <w:color w:val="000000" w:themeColor="text1"/>
                <w:kern w:val="36"/>
                <w:szCs w:val="24"/>
                <w:lang w:bidi="hi-IN"/>
              </w:rPr>
              <w:t>1-</w:t>
            </w:r>
            <w:r w:rsidRPr="0025369A">
              <w:rPr>
                <w:rFonts w:ascii="Times New Roman" w:eastAsia="標楷體" w:hAnsi="Times New Roman"/>
                <w:color w:val="000000" w:themeColor="text1"/>
                <w:kern w:val="36"/>
                <w:szCs w:val="24"/>
                <w:lang w:bidi="hi-IN"/>
              </w:rPr>
              <w:t>磷酸鹽</w:t>
            </w:r>
            <w:r w:rsidRPr="0025369A">
              <w:rPr>
                <w:rFonts w:ascii="Times New Roman" w:eastAsia="標楷體" w:hAnsi="Times New Roman"/>
                <w:color w:val="000000" w:themeColor="text1"/>
                <w:kern w:val="36"/>
                <w:szCs w:val="24"/>
                <w:lang w:bidi="hi-IN"/>
              </w:rPr>
              <w:t xml:space="preserve"> (sphingosine 1-phosphate</w:t>
            </w:r>
            <w:r w:rsidRPr="0025369A">
              <w:rPr>
                <w:rFonts w:ascii="Times New Roman" w:eastAsia="標楷體" w:hAnsi="Times New Roman"/>
                <w:color w:val="000000" w:themeColor="text1"/>
                <w:kern w:val="36"/>
                <w:szCs w:val="24"/>
                <w:lang w:bidi="hi-IN"/>
              </w:rPr>
              <w:t>，</w:t>
            </w:r>
            <w:r w:rsidRPr="0025369A">
              <w:rPr>
                <w:rFonts w:ascii="Times New Roman" w:eastAsia="標楷體" w:hAnsi="Times New Roman"/>
                <w:color w:val="000000" w:themeColor="text1"/>
                <w:kern w:val="36"/>
                <w:szCs w:val="24"/>
                <w:lang w:bidi="hi-IN"/>
              </w:rPr>
              <w:t xml:space="preserve">S1P) </w:t>
            </w:r>
            <w:r w:rsidRPr="0025369A">
              <w:rPr>
                <w:rFonts w:ascii="Times New Roman" w:eastAsia="標楷體" w:hAnsi="Times New Roman"/>
                <w:color w:val="000000" w:themeColor="text1"/>
                <w:kern w:val="36"/>
                <w:szCs w:val="24"/>
                <w:lang w:bidi="hi-IN"/>
              </w:rPr>
              <w:t>受體調節劑，與鞘氨酸</w:t>
            </w:r>
            <w:r w:rsidRPr="0025369A">
              <w:rPr>
                <w:rFonts w:ascii="Times New Roman" w:eastAsia="標楷體" w:hAnsi="Times New Roman"/>
                <w:color w:val="000000" w:themeColor="text1"/>
                <w:kern w:val="36"/>
                <w:szCs w:val="24"/>
                <w:lang w:bidi="hi-IN"/>
              </w:rPr>
              <w:t>1-</w:t>
            </w:r>
            <w:r w:rsidRPr="0025369A">
              <w:rPr>
                <w:rFonts w:ascii="Times New Roman" w:eastAsia="標楷體" w:hAnsi="Times New Roman"/>
                <w:color w:val="000000" w:themeColor="text1"/>
                <w:kern w:val="36"/>
                <w:szCs w:val="24"/>
                <w:lang w:bidi="hi-IN"/>
              </w:rPr>
              <w:t>磷酸鹽受體</w:t>
            </w:r>
            <w:r w:rsidRPr="0025369A">
              <w:rPr>
                <w:rFonts w:ascii="Times New Roman" w:eastAsia="標楷體" w:hAnsi="Times New Roman"/>
                <w:color w:val="000000" w:themeColor="text1"/>
                <w:kern w:val="36"/>
                <w:szCs w:val="24"/>
                <w:lang w:bidi="hi-IN"/>
              </w:rPr>
              <w:t xml:space="preserve"> 1</w:t>
            </w:r>
            <w:r w:rsidRPr="0025369A">
              <w:rPr>
                <w:rFonts w:ascii="Times New Roman" w:eastAsia="標楷體" w:hAnsi="Times New Roman"/>
                <w:color w:val="000000" w:themeColor="text1"/>
                <w:kern w:val="36"/>
                <w:szCs w:val="24"/>
                <w:lang w:bidi="hi-IN"/>
              </w:rPr>
              <w:t>、</w:t>
            </w:r>
            <w:r w:rsidRPr="0025369A">
              <w:rPr>
                <w:rFonts w:ascii="Times New Roman" w:eastAsia="標楷體" w:hAnsi="Times New Roman"/>
                <w:color w:val="000000" w:themeColor="text1"/>
                <w:kern w:val="36"/>
                <w:szCs w:val="24"/>
                <w:lang w:bidi="hi-IN"/>
              </w:rPr>
              <w:t>3</w:t>
            </w:r>
            <w:r w:rsidRPr="0025369A">
              <w:rPr>
                <w:rFonts w:ascii="Times New Roman" w:eastAsia="標楷體" w:hAnsi="Times New Roman"/>
                <w:color w:val="000000" w:themeColor="text1"/>
                <w:kern w:val="36"/>
                <w:szCs w:val="24"/>
                <w:lang w:bidi="hi-IN"/>
              </w:rPr>
              <w:t>、</w:t>
            </w:r>
            <w:r w:rsidRPr="0025369A">
              <w:rPr>
                <w:rFonts w:ascii="Times New Roman" w:eastAsia="標楷體" w:hAnsi="Times New Roman"/>
                <w:color w:val="000000" w:themeColor="text1"/>
                <w:kern w:val="36"/>
                <w:szCs w:val="24"/>
                <w:lang w:bidi="hi-IN"/>
              </w:rPr>
              <w:t>4</w:t>
            </w:r>
            <w:r w:rsidRPr="0025369A">
              <w:rPr>
                <w:rFonts w:ascii="Times New Roman" w:eastAsia="標楷體" w:hAnsi="Times New Roman"/>
                <w:color w:val="000000" w:themeColor="text1"/>
                <w:kern w:val="36"/>
                <w:szCs w:val="24"/>
                <w:lang w:bidi="hi-IN"/>
              </w:rPr>
              <w:t>、</w:t>
            </w:r>
            <w:r w:rsidRPr="0025369A">
              <w:rPr>
                <w:rFonts w:ascii="Times New Roman" w:eastAsia="標楷體" w:hAnsi="Times New Roman"/>
                <w:color w:val="000000" w:themeColor="text1"/>
                <w:kern w:val="36"/>
                <w:szCs w:val="24"/>
                <w:lang w:bidi="hi-IN"/>
              </w:rPr>
              <w:t xml:space="preserve">5 </w:t>
            </w:r>
            <w:r w:rsidRPr="0025369A">
              <w:rPr>
                <w:rFonts w:ascii="Times New Roman" w:eastAsia="標楷體" w:hAnsi="Times New Roman"/>
                <w:color w:val="000000" w:themeColor="text1"/>
                <w:kern w:val="36"/>
                <w:szCs w:val="24"/>
                <w:lang w:bidi="hi-IN"/>
              </w:rPr>
              <w:t>結合具有很高的親和力。</w:t>
            </w:r>
            <w:r w:rsidRPr="0025369A">
              <w:rPr>
                <w:rFonts w:ascii="Times New Roman" w:eastAsia="標楷體" w:hAnsi="Times New Roman"/>
                <w:color w:val="000000" w:themeColor="text1"/>
                <w:kern w:val="36"/>
                <w:szCs w:val="24"/>
                <w:lang w:bidi="hi-IN"/>
              </w:rPr>
              <w:t xml:space="preserve"> Fingolimod- phosphate </w:t>
            </w:r>
            <w:r w:rsidRPr="0025369A">
              <w:rPr>
                <w:rFonts w:ascii="Times New Roman" w:eastAsia="標楷體" w:hAnsi="Times New Roman"/>
                <w:color w:val="000000" w:themeColor="text1"/>
                <w:kern w:val="36"/>
                <w:szCs w:val="24"/>
                <w:lang w:bidi="hi-IN"/>
              </w:rPr>
              <w:t>阻斷淋巴球自淋巴結中移出的能力，減少</w:t>
            </w:r>
            <w:proofErr w:type="gramStart"/>
            <w:r w:rsidRPr="0025369A">
              <w:rPr>
                <w:rFonts w:ascii="Times New Roman" w:eastAsia="標楷體" w:hAnsi="Times New Roman"/>
                <w:color w:val="000000" w:themeColor="text1"/>
                <w:kern w:val="36"/>
                <w:szCs w:val="24"/>
                <w:lang w:bidi="hi-IN"/>
              </w:rPr>
              <w:t>週邊血</w:t>
            </w:r>
            <w:proofErr w:type="gramEnd"/>
            <w:r w:rsidRPr="0025369A">
              <w:rPr>
                <w:rFonts w:ascii="Times New Roman" w:eastAsia="標楷體" w:hAnsi="Times New Roman"/>
                <w:color w:val="000000" w:themeColor="text1"/>
                <w:kern w:val="36"/>
                <w:szCs w:val="24"/>
                <w:lang w:bidi="hi-IN"/>
              </w:rPr>
              <w:t>的淋巴球數。</w:t>
            </w:r>
            <w:r w:rsidRPr="0025369A">
              <w:rPr>
                <w:rFonts w:ascii="Times New Roman" w:eastAsia="標楷體" w:hAnsi="Times New Roman"/>
                <w:color w:val="000000" w:themeColor="text1"/>
                <w:kern w:val="36"/>
                <w:szCs w:val="24"/>
                <w:lang w:bidi="hi-IN"/>
              </w:rPr>
              <w:t xml:space="preserve">Fingolimod </w:t>
            </w:r>
            <w:r w:rsidRPr="0025369A">
              <w:rPr>
                <w:rFonts w:ascii="Times New Roman" w:eastAsia="標楷體" w:hAnsi="Times New Roman"/>
                <w:color w:val="000000" w:themeColor="text1"/>
                <w:kern w:val="36"/>
                <w:szCs w:val="24"/>
                <w:lang w:bidi="hi-IN"/>
              </w:rPr>
              <w:t>對多發性硬化症產生治療作用的機轉未明，但可能和減少淋巴球細胞滲透至中樞神經系統中有關。</w:t>
            </w:r>
          </w:p>
        </w:tc>
      </w:tr>
      <w:tr w:rsidR="00707B8C" w:rsidRPr="00147E19" w:rsidTr="00543FB1">
        <w:trPr>
          <w:trHeight w:val="416"/>
          <w:jc w:val="center"/>
        </w:trPr>
        <w:tc>
          <w:tcPr>
            <w:tcW w:w="1988" w:type="dxa"/>
            <w:vAlign w:val="center"/>
          </w:tcPr>
          <w:p w:rsidR="00707B8C" w:rsidRPr="00147E19" w:rsidRDefault="00707B8C" w:rsidP="00707B8C">
            <w:pPr>
              <w:jc w:val="center"/>
              <w:rPr>
                <w:rFonts w:ascii="Times New Roman" w:eastAsia="標楷體" w:hAnsi="Times New Roman" w:cs="Times New Roman"/>
                <w:color w:val="000000"/>
                <w:szCs w:val="24"/>
              </w:rPr>
            </w:pPr>
            <w:r w:rsidRPr="00147E19">
              <w:rPr>
                <w:rFonts w:ascii="Times New Roman" w:eastAsia="標楷體" w:hAnsi="Times New Roman" w:cs="Times New Roman"/>
                <w:color w:val="000000"/>
                <w:szCs w:val="24"/>
              </w:rPr>
              <w:t>訊息緣由</w:t>
            </w:r>
          </w:p>
        </w:tc>
        <w:tc>
          <w:tcPr>
            <w:tcW w:w="7741" w:type="dxa"/>
          </w:tcPr>
          <w:p w:rsidR="00095F30" w:rsidRDefault="00653C65" w:rsidP="00147E19">
            <w:pPr>
              <w:widowControl/>
              <w:shd w:val="clear" w:color="auto" w:fill="FFFFFF"/>
              <w:jc w:val="both"/>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20</w:t>
            </w:r>
            <w:r>
              <w:rPr>
                <w:rFonts w:ascii="Times New Roman" w:eastAsia="標楷體" w:hAnsi="Times New Roman" w:cs="Times New Roman" w:hint="eastAsia"/>
                <w:color w:val="222222"/>
                <w:kern w:val="0"/>
                <w:szCs w:val="24"/>
              </w:rPr>
              <w:t>20</w:t>
            </w:r>
            <w:r>
              <w:rPr>
                <w:rFonts w:ascii="Times New Roman" w:eastAsia="標楷體" w:hAnsi="Times New Roman" w:cs="Times New Roman"/>
                <w:color w:val="222222"/>
                <w:kern w:val="0"/>
                <w:szCs w:val="24"/>
              </w:rPr>
              <w:t>/1</w:t>
            </w:r>
            <w:r w:rsidR="00211AF1">
              <w:rPr>
                <w:rFonts w:ascii="Times New Roman" w:eastAsia="標楷體" w:hAnsi="Times New Roman" w:cs="Times New Roman" w:hint="eastAsia"/>
                <w:color w:val="222222"/>
                <w:kern w:val="0"/>
                <w:szCs w:val="24"/>
              </w:rPr>
              <w:t>1</w:t>
            </w:r>
            <w:r w:rsidR="00211AF1">
              <w:rPr>
                <w:rFonts w:ascii="Times New Roman" w:eastAsia="標楷體" w:hAnsi="Times New Roman" w:cs="Times New Roman"/>
                <w:color w:val="222222"/>
                <w:kern w:val="0"/>
                <w:szCs w:val="24"/>
              </w:rPr>
              <w:t>/</w:t>
            </w:r>
            <w:r w:rsidR="00211AF1">
              <w:rPr>
                <w:rFonts w:ascii="Times New Roman" w:eastAsia="標楷體" w:hAnsi="Times New Roman" w:cs="Times New Roman" w:hint="eastAsia"/>
                <w:color w:val="222222"/>
                <w:kern w:val="0"/>
                <w:szCs w:val="24"/>
              </w:rPr>
              <w:t>10</w:t>
            </w:r>
            <w:r w:rsidR="00571D69">
              <w:rPr>
                <w:rFonts w:ascii="Times New Roman" w:eastAsia="標楷體" w:hAnsi="Times New Roman" w:cs="Times New Roman" w:hint="eastAsia"/>
                <w:color w:val="222222"/>
                <w:kern w:val="0"/>
                <w:szCs w:val="24"/>
              </w:rPr>
              <w:t>歐洲藥品管理局</w:t>
            </w:r>
            <w:r w:rsidR="00571D69">
              <w:rPr>
                <w:rFonts w:ascii="Times New Roman" w:eastAsia="標楷體" w:hAnsi="Times New Roman" w:cs="Times New Roman" w:hint="eastAsia"/>
                <w:color w:val="222222"/>
                <w:kern w:val="0"/>
                <w:szCs w:val="24"/>
              </w:rPr>
              <w:t>(EMA)</w:t>
            </w:r>
            <w:r w:rsidR="00F80CE8">
              <w:rPr>
                <w:rFonts w:ascii="Times New Roman" w:eastAsia="標楷體" w:hAnsi="Times New Roman" w:cs="Times New Roman" w:hint="eastAsia"/>
                <w:color w:val="222222"/>
                <w:kern w:val="0"/>
                <w:szCs w:val="24"/>
              </w:rPr>
              <w:t>發布</w:t>
            </w:r>
            <w:r w:rsidR="00571D69">
              <w:rPr>
                <w:rFonts w:ascii="Times New Roman" w:eastAsia="標楷體" w:hAnsi="Times New Roman" w:cs="Times New Roman" w:hint="eastAsia"/>
                <w:color w:val="222222"/>
                <w:kern w:val="0"/>
                <w:szCs w:val="24"/>
              </w:rPr>
              <w:t>曾有</w:t>
            </w:r>
            <w:r w:rsidR="00571D69" w:rsidRPr="00571D69">
              <w:rPr>
                <w:rFonts w:ascii="Times New Roman" w:eastAsia="標楷體" w:hAnsi="Times New Roman" w:cs="Times New Roman" w:hint="eastAsia"/>
                <w:color w:val="222222"/>
                <w:kern w:val="0"/>
                <w:szCs w:val="24"/>
              </w:rPr>
              <w:t>使用</w:t>
            </w:r>
            <w:r w:rsidR="00571D69">
              <w:rPr>
                <w:rFonts w:ascii="Times New Roman" w:eastAsia="標楷體" w:hAnsi="Times New Roman" w:cs="Times New Roman" w:hint="eastAsia"/>
                <w:color w:val="222222"/>
                <w:kern w:val="0"/>
                <w:szCs w:val="24"/>
              </w:rPr>
              <w:t>含</w:t>
            </w:r>
            <w:r w:rsidR="00571D69" w:rsidRPr="00571D69">
              <w:rPr>
                <w:rFonts w:ascii="Times New Roman" w:eastAsia="標楷體" w:hAnsi="Times New Roman" w:cs="Times New Roman" w:hint="eastAsia"/>
                <w:color w:val="222222"/>
                <w:kern w:val="0"/>
                <w:szCs w:val="24"/>
              </w:rPr>
              <w:t>fingolimod</w:t>
            </w:r>
            <w:r w:rsidR="00571D69">
              <w:rPr>
                <w:rFonts w:ascii="Times New Roman" w:eastAsia="標楷體" w:hAnsi="Times New Roman" w:cs="Times New Roman" w:hint="eastAsia"/>
                <w:color w:val="222222"/>
                <w:kern w:val="0"/>
                <w:szCs w:val="24"/>
              </w:rPr>
              <w:t>成分藥品</w:t>
            </w:r>
            <w:r w:rsidR="00571D69" w:rsidRPr="00571D69">
              <w:rPr>
                <w:rFonts w:ascii="Times New Roman" w:eastAsia="標楷體" w:hAnsi="Times New Roman" w:cs="Times New Roman" w:hint="eastAsia"/>
                <w:color w:val="222222"/>
                <w:kern w:val="0"/>
                <w:szCs w:val="24"/>
              </w:rPr>
              <w:t>治療</w:t>
            </w:r>
            <w:r w:rsidR="00571D69">
              <w:rPr>
                <w:rFonts w:ascii="Times New Roman" w:eastAsia="標楷體" w:hAnsi="Times New Roman" w:cs="Times New Roman" w:hint="eastAsia"/>
                <w:color w:val="222222"/>
                <w:kern w:val="0"/>
                <w:szCs w:val="24"/>
              </w:rPr>
              <w:t>之</w:t>
            </w:r>
            <w:r w:rsidR="00571D69" w:rsidRPr="00571D69">
              <w:rPr>
                <w:rFonts w:ascii="Times New Roman" w:eastAsia="標楷體" w:hAnsi="Times New Roman" w:cs="Times New Roman" w:hint="eastAsia"/>
                <w:color w:val="222222"/>
                <w:kern w:val="0"/>
                <w:szCs w:val="24"/>
              </w:rPr>
              <w:t>病人</w:t>
            </w:r>
            <w:r w:rsidR="00571D69">
              <w:rPr>
                <w:rFonts w:ascii="Times New Roman" w:eastAsia="標楷體" w:hAnsi="Times New Roman" w:cs="Times New Roman" w:hint="eastAsia"/>
                <w:color w:val="222222"/>
                <w:kern w:val="0"/>
                <w:szCs w:val="24"/>
              </w:rPr>
              <w:t>發生</w:t>
            </w:r>
            <w:proofErr w:type="gramStart"/>
            <w:r w:rsidR="00571D69" w:rsidRPr="00571D69">
              <w:rPr>
                <w:rFonts w:ascii="Times New Roman" w:eastAsia="標楷體" w:hAnsi="Times New Roman" w:cs="Times New Roman" w:hint="eastAsia"/>
                <w:color w:val="222222"/>
                <w:kern w:val="0"/>
                <w:szCs w:val="24"/>
              </w:rPr>
              <w:t>急性肝</w:t>
            </w:r>
            <w:proofErr w:type="gramEnd"/>
            <w:r w:rsidR="00571D69" w:rsidRPr="00571D69">
              <w:rPr>
                <w:rFonts w:ascii="Times New Roman" w:eastAsia="標楷體" w:hAnsi="Times New Roman" w:cs="Times New Roman" w:hint="eastAsia"/>
                <w:color w:val="222222"/>
                <w:kern w:val="0"/>
                <w:szCs w:val="24"/>
              </w:rPr>
              <w:t>衰竭且需肝臟移植以及臨床上具意義的肝臟損傷</w:t>
            </w:r>
            <w:r w:rsidR="00571D69">
              <w:rPr>
                <w:rFonts w:ascii="Times New Roman" w:eastAsia="標楷體" w:hAnsi="Times New Roman" w:cs="Times New Roman" w:hint="eastAsia"/>
                <w:color w:val="222222"/>
                <w:kern w:val="0"/>
                <w:szCs w:val="24"/>
              </w:rPr>
              <w:t>之</w:t>
            </w:r>
            <w:r w:rsidR="00571D69" w:rsidRPr="00571D69">
              <w:rPr>
                <w:rFonts w:ascii="Times New Roman" w:eastAsia="標楷體" w:hAnsi="Times New Roman" w:cs="Times New Roman" w:hint="eastAsia"/>
                <w:color w:val="222222"/>
                <w:kern w:val="0"/>
                <w:szCs w:val="24"/>
              </w:rPr>
              <w:t>案例，故擬更新仿單</w:t>
            </w:r>
            <w:r w:rsidR="00845CB9">
              <w:rPr>
                <w:rFonts w:ascii="Times New Roman" w:eastAsia="標楷體" w:hAnsi="Times New Roman" w:cs="Times New Roman" w:hint="eastAsia"/>
                <w:color w:val="222222"/>
                <w:kern w:val="0"/>
                <w:szCs w:val="24"/>
              </w:rPr>
              <w:t>安全警訊</w:t>
            </w:r>
            <w:r w:rsidR="00571D69" w:rsidRPr="00571D69">
              <w:rPr>
                <w:rFonts w:ascii="Times New Roman" w:eastAsia="標楷體" w:hAnsi="Times New Roman" w:cs="Times New Roman" w:hint="eastAsia"/>
                <w:color w:val="222222"/>
                <w:kern w:val="0"/>
                <w:szCs w:val="24"/>
              </w:rPr>
              <w:t>以降低</w:t>
            </w:r>
            <w:r w:rsidR="00F60770" w:rsidRPr="00F60770">
              <w:rPr>
                <w:rFonts w:ascii="Times New Roman" w:eastAsia="標楷體" w:hAnsi="Times New Roman" w:cs="Times New Roman"/>
                <w:color w:val="222222"/>
                <w:kern w:val="0"/>
                <w:szCs w:val="24"/>
              </w:rPr>
              <w:t>藥物誘發肝損傷</w:t>
            </w:r>
            <w:r w:rsidR="00F60770">
              <w:rPr>
                <w:rFonts w:ascii="Times New Roman" w:eastAsia="標楷體" w:hAnsi="Times New Roman" w:cs="Times New Roman" w:hint="eastAsia"/>
                <w:color w:val="222222"/>
                <w:kern w:val="0"/>
                <w:szCs w:val="24"/>
              </w:rPr>
              <w:t>(</w:t>
            </w:r>
            <w:r w:rsidR="00571D69" w:rsidRPr="00571D69">
              <w:rPr>
                <w:rFonts w:ascii="Times New Roman" w:eastAsia="標楷體" w:hAnsi="Times New Roman" w:cs="Times New Roman" w:hint="eastAsia"/>
                <w:color w:val="222222"/>
                <w:kern w:val="0"/>
                <w:szCs w:val="24"/>
              </w:rPr>
              <w:t>DILI</w:t>
            </w:r>
            <w:r w:rsidR="00F60770">
              <w:rPr>
                <w:rFonts w:ascii="Times New Roman" w:eastAsia="標楷體" w:hAnsi="Times New Roman" w:cs="Times New Roman" w:hint="eastAsia"/>
                <w:color w:val="222222"/>
                <w:kern w:val="0"/>
                <w:szCs w:val="24"/>
              </w:rPr>
              <w:t>)</w:t>
            </w:r>
            <w:r w:rsidR="00845CB9">
              <w:rPr>
                <w:rFonts w:ascii="Times New Roman" w:eastAsia="標楷體" w:hAnsi="Times New Roman" w:cs="Times New Roman" w:hint="eastAsia"/>
                <w:color w:val="222222"/>
                <w:kern w:val="0"/>
                <w:szCs w:val="24"/>
              </w:rPr>
              <w:t xml:space="preserve"> </w:t>
            </w:r>
            <w:r w:rsidR="00845CB9">
              <w:rPr>
                <w:rFonts w:ascii="Times New Roman" w:eastAsia="標楷體" w:hAnsi="Times New Roman" w:cs="Times New Roman" w:hint="eastAsia"/>
                <w:color w:val="222222"/>
                <w:kern w:val="0"/>
                <w:szCs w:val="24"/>
              </w:rPr>
              <w:t>之</w:t>
            </w:r>
            <w:r w:rsidR="00571D69" w:rsidRPr="00571D69">
              <w:rPr>
                <w:rFonts w:ascii="Times New Roman" w:eastAsia="標楷體" w:hAnsi="Times New Roman" w:cs="Times New Roman" w:hint="eastAsia"/>
                <w:color w:val="222222"/>
                <w:kern w:val="0"/>
                <w:szCs w:val="24"/>
              </w:rPr>
              <w:t>風險</w:t>
            </w:r>
            <w:r w:rsidR="006D30D6" w:rsidRPr="00147E19">
              <w:rPr>
                <w:rFonts w:ascii="Times New Roman" w:eastAsia="標楷體" w:hAnsi="Times New Roman" w:cs="Times New Roman"/>
                <w:color w:val="222222"/>
                <w:kern w:val="0"/>
                <w:szCs w:val="24"/>
              </w:rPr>
              <w:t>。</w:t>
            </w:r>
          </w:p>
          <w:p w:rsidR="00707B8C" w:rsidRPr="00147E19" w:rsidRDefault="00707B8C" w:rsidP="00CF1B9A">
            <w:pPr>
              <w:widowControl/>
              <w:shd w:val="clear" w:color="auto" w:fill="FFFFFF"/>
              <w:rPr>
                <w:rFonts w:ascii="Times New Roman" w:eastAsia="標楷體" w:hAnsi="Times New Roman" w:cs="Times New Roman"/>
                <w:color w:val="222222"/>
                <w:kern w:val="0"/>
                <w:szCs w:val="24"/>
              </w:rPr>
            </w:pPr>
            <w:r w:rsidRPr="00147E19">
              <w:rPr>
                <w:rFonts w:ascii="Times New Roman" w:eastAsia="標楷體" w:hAnsi="Times New Roman" w:cs="Times New Roman"/>
                <w:color w:val="000000"/>
                <w:kern w:val="0"/>
                <w:szCs w:val="24"/>
              </w:rPr>
              <w:t>網址：</w:t>
            </w:r>
            <w:r w:rsidR="00211AF1" w:rsidRPr="00211AF1">
              <w:rPr>
                <w:rFonts w:ascii="Times New Roman" w:eastAsia="標楷體" w:hAnsi="Times New Roman" w:cs="Times New Roman"/>
                <w:color w:val="0000FF"/>
                <w:kern w:val="0"/>
                <w:szCs w:val="24"/>
                <w:u w:val="single"/>
              </w:rPr>
              <w:t>https://www.ema.europa.eu/en/documents/dhpc/gilenya-fingolimod-updated-recommendations-minimise-risk-drug-induced-liver-injury-dili_en.pdf</w:t>
            </w:r>
          </w:p>
        </w:tc>
      </w:tr>
      <w:tr w:rsidR="00707B8C" w:rsidRPr="00147E19" w:rsidTr="00543FB1">
        <w:trPr>
          <w:trHeight w:val="896"/>
          <w:jc w:val="center"/>
        </w:trPr>
        <w:tc>
          <w:tcPr>
            <w:tcW w:w="1988" w:type="dxa"/>
            <w:vAlign w:val="center"/>
          </w:tcPr>
          <w:p w:rsidR="00707B8C" w:rsidRPr="00147E19" w:rsidRDefault="00095F30" w:rsidP="00707B8C">
            <w:pPr>
              <w:jc w:val="center"/>
              <w:rPr>
                <w:rFonts w:ascii="Times New Roman" w:eastAsia="標楷體" w:hAnsi="Times New Roman" w:cs="Times New Roman"/>
                <w:szCs w:val="24"/>
              </w:rPr>
            </w:pPr>
            <w:r w:rsidRPr="00147E19">
              <w:rPr>
                <w:rFonts w:ascii="Times New Roman" w:eastAsia="標楷體" w:hAnsi="Times New Roman" w:cs="Times New Roman"/>
                <w:szCs w:val="24"/>
              </w:rPr>
              <w:t>藥品安全有關資訊分析及描述</w:t>
            </w:r>
          </w:p>
        </w:tc>
        <w:tc>
          <w:tcPr>
            <w:tcW w:w="7741" w:type="dxa"/>
          </w:tcPr>
          <w:p w:rsidR="000F6321" w:rsidRPr="00A5780C" w:rsidRDefault="000F6321" w:rsidP="00095F30">
            <w:pPr>
              <w:widowControl/>
              <w:numPr>
                <w:ilvl w:val="0"/>
                <w:numId w:val="8"/>
              </w:numPr>
              <w:shd w:val="clear" w:color="auto" w:fill="FFFFFF"/>
              <w:jc w:val="both"/>
              <w:rPr>
                <w:rFonts w:ascii="Times New Roman" w:eastAsia="標楷體" w:hAnsi="Times New Roman" w:cs="Times New Roman"/>
                <w:kern w:val="0"/>
                <w:szCs w:val="24"/>
              </w:rPr>
            </w:pPr>
            <w:r w:rsidRPr="00A5780C">
              <w:rPr>
                <w:rFonts w:ascii="Times New Roman" w:eastAsia="標楷體" w:hAnsi="Times New Roman" w:cs="Times New Roman" w:hint="eastAsia"/>
                <w:kern w:val="0"/>
                <w:szCs w:val="24"/>
              </w:rPr>
              <w:t>EMA</w:t>
            </w:r>
            <w:r w:rsidRPr="00A5780C">
              <w:rPr>
                <w:rFonts w:ascii="Times New Roman" w:eastAsia="標楷體" w:hAnsi="Times New Roman" w:cs="Times New Roman" w:hint="eastAsia"/>
                <w:kern w:val="0"/>
                <w:szCs w:val="24"/>
              </w:rPr>
              <w:t>近期回顧</w:t>
            </w:r>
            <w:r w:rsidR="00EC05DD">
              <w:rPr>
                <w:rFonts w:ascii="Times New Roman" w:eastAsia="標楷體" w:hAnsi="Times New Roman" w:cs="Times New Roman" w:hint="eastAsia"/>
                <w:color w:val="222222"/>
                <w:kern w:val="0"/>
                <w:szCs w:val="24"/>
              </w:rPr>
              <w:t>含</w:t>
            </w:r>
            <w:r w:rsidR="00EC05DD" w:rsidRPr="00571D69">
              <w:rPr>
                <w:rFonts w:ascii="Times New Roman" w:eastAsia="標楷體" w:hAnsi="Times New Roman" w:cs="Times New Roman" w:hint="eastAsia"/>
                <w:color w:val="222222"/>
                <w:kern w:val="0"/>
                <w:szCs w:val="24"/>
              </w:rPr>
              <w:t>fingolimod</w:t>
            </w:r>
            <w:r w:rsidR="00EC05DD">
              <w:rPr>
                <w:rFonts w:ascii="Times New Roman" w:eastAsia="標楷體" w:hAnsi="Times New Roman" w:cs="Times New Roman" w:hint="eastAsia"/>
                <w:color w:val="222222"/>
                <w:kern w:val="0"/>
                <w:szCs w:val="24"/>
              </w:rPr>
              <w:t>成分藥品之</w:t>
            </w:r>
            <w:r w:rsidRPr="00A5780C">
              <w:rPr>
                <w:rFonts w:ascii="Times New Roman" w:eastAsia="標楷體" w:hAnsi="Times New Roman" w:cs="Times New Roman" w:hint="eastAsia"/>
                <w:kern w:val="0"/>
                <w:szCs w:val="24"/>
              </w:rPr>
              <w:t>安全性資料，</w:t>
            </w:r>
            <w:r w:rsidR="00EC05DD">
              <w:rPr>
                <w:rFonts w:ascii="Times New Roman" w:eastAsia="標楷體" w:hAnsi="Times New Roman" w:cs="Times New Roman" w:hint="eastAsia"/>
                <w:kern w:val="0"/>
                <w:szCs w:val="24"/>
              </w:rPr>
              <w:t>除接獲</w:t>
            </w:r>
            <w:r w:rsidR="00026589">
              <w:rPr>
                <w:rFonts w:ascii="Times New Roman" w:eastAsia="標楷體" w:hAnsi="Times New Roman" w:cs="Times New Roman" w:hint="eastAsia"/>
                <w:kern w:val="0"/>
                <w:szCs w:val="24"/>
              </w:rPr>
              <w:t>曾有</w:t>
            </w:r>
            <w:r w:rsidR="00026589">
              <w:rPr>
                <w:rFonts w:ascii="Times New Roman" w:eastAsia="標楷體" w:hAnsi="Times New Roman" w:cs="Times New Roman" w:hint="eastAsia"/>
                <w:kern w:val="0"/>
                <w:szCs w:val="24"/>
              </w:rPr>
              <w:t>3</w:t>
            </w:r>
            <w:r w:rsidR="00026589">
              <w:rPr>
                <w:rFonts w:ascii="Times New Roman" w:eastAsia="標楷體" w:hAnsi="Times New Roman" w:cs="Times New Roman" w:hint="eastAsia"/>
                <w:kern w:val="0"/>
                <w:szCs w:val="24"/>
              </w:rPr>
              <w:t>例</w:t>
            </w:r>
            <w:r w:rsidR="00727917" w:rsidRPr="00A5780C">
              <w:rPr>
                <w:rFonts w:ascii="Times New Roman" w:eastAsia="標楷體" w:hAnsi="Times New Roman" w:cs="Times New Roman" w:hint="eastAsia"/>
                <w:kern w:val="0"/>
                <w:szCs w:val="24"/>
              </w:rPr>
              <w:t>使用</w:t>
            </w:r>
            <w:r w:rsidR="00EC05DD">
              <w:rPr>
                <w:rFonts w:ascii="Times New Roman" w:eastAsia="標楷體" w:hAnsi="Times New Roman" w:cs="Times New Roman" w:hint="eastAsia"/>
                <w:szCs w:val="24"/>
              </w:rPr>
              <w:t>該成分藥品</w:t>
            </w:r>
            <w:r w:rsidR="00727917" w:rsidRPr="00A5780C">
              <w:rPr>
                <w:rFonts w:ascii="Times New Roman" w:eastAsia="標楷體" w:hAnsi="Times New Roman" w:cs="Times New Roman" w:hint="eastAsia"/>
                <w:szCs w:val="24"/>
              </w:rPr>
              <w:t>治療</w:t>
            </w:r>
            <w:r w:rsidR="00EC05DD">
              <w:rPr>
                <w:rFonts w:ascii="Times New Roman" w:eastAsia="標楷體" w:hAnsi="Times New Roman" w:cs="Times New Roman" w:hint="eastAsia"/>
                <w:szCs w:val="24"/>
              </w:rPr>
              <w:t>之</w:t>
            </w:r>
            <w:r w:rsidR="00727917" w:rsidRPr="00A5780C">
              <w:rPr>
                <w:rFonts w:ascii="Times New Roman" w:eastAsia="標楷體" w:hAnsi="Times New Roman" w:cs="Times New Roman" w:hint="eastAsia"/>
                <w:szCs w:val="24"/>
              </w:rPr>
              <w:t>病人</w:t>
            </w:r>
            <w:r w:rsidR="00026589">
              <w:rPr>
                <w:rFonts w:ascii="Times New Roman" w:eastAsia="標楷體" w:hAnsi="Times New Roman" w:cs="Times New Roman" w:hint="eastAsia"/>
                <w:kern w:val="0"/>
                <w:szCs w:val="24"/>
              </w:rPr>
              <w:t>發生肝衰竭</w:t>
            </w:r>
            <w:r w:rsidR="00EC05DD">
              <w:rPr>
                <w:rFonts w:ascii="Times New Roman" w:eastAsia="標楷體" w:hAnsi="Times New Roman" w:cs="Times New Roman" w:hint="eastAsia"/>
                <w:kern w:val="0"/>
                <w:szCs w:val="24"/>
              </w:rPr>
              <w:t>進而</w:t>
            </w:r>
            <w:r w:rsidRPr="00A5780C">
              <w:rPr>
                <w:rFonts w:ascii="Times New Roman" w:eastAsia="標楷體" w:hAnsi="Times New Roman" w:cs="Times New Roman" w:hint="eastAsia"/>
                <w:kern w:val="0"/>
                <w:szCs w:val="24"/>
              </w:rPr>
              <w:t>需</w:t>
            </w:r>
            <w:r w:rsidR="00EC05DD">
              <w:rPr>
                <w:rFonts w:ascii="Times New Roman" w:eastAsia="標楷體" w:hAnsi="Times New Roman" w:cs="Times New Roman" w:hint="eastAsia"/>
                <w:kern w:val="0"/>
                <w:szCs w:val="24"/>
              </w:rPr>
              <w:t>進行</w:t>
            </w:r>
            <w:r w:rsidRPr="00A5780C">
              <w:rPr>
                <w:rFonts w:ascii="Times New Roman" w:eastAsia="標楷體" w:hAnsi="Times New Roman" w:cs="Times New Roman" w:hint="eastAsia"/>
                <w:kern w:val="0"/>
                <w:szCs w:val="24"/>
              </w:rPr>
              <w:t>肝臟移植</w:t>
            </w:r>
            <w:r w:rsidR="00EC05DD">
              <w:rPr>
                <w:rFonts w:ascii="Times New Roman" w:eastAsia="標楷體" w:hAnsi="Times New Roman" w:cs="Times New Roman" w:hint="eastAsia"/>
                <w:kern w:val="0"/>
                <w:szCs w:val="24"/>
              </w:rPr>
              <w:t>之</w:t>
            </w:r>
            <w:r w:rsidR="004A656F" w:rsidRPr="00A5780C">
              <w:rPr>
                <w:rFonts w:ascii="Times New Roman" w:eastAsia="標楷體" w:hAnsi="Times New Roman" w:cs="Times New Roman" w:hint="eastAsia"/>
                <w:kern w:val="0"/>
                <w:szCs w:val="24"/>
              </w:rPr>
              <w:t>通報</w:t>
            </w:r>
            <w:r w:rsidRPr="00A5780C">
              <w:rPr>
                <w:rFonts w:ascii="Times New Roman" w:eastAsia="標楷體" w:hAnsi="Times New Roman" w:cs="Times New Roman" w:hint="eastAsia"/>
                <w:kern w:val="0"/>
                <w:szCs w:val="24"/>
              </w:rPr>
              <w:t>案</w:t>
            </w:r>
            <w:r w:rsidR="00727917" w:rsidRPr="00A5780C">
              <w:rPr>
                <w:rFonts w:ascii="Times New Roman" w:eastAsia="標楷體" w:hAnsi="Times New Roman" w:cs="Times New Roman" w:hint="eastAsia"/>
                <w:kern w:val="0"/>
                <w:szCs w:val="24"/>
              </w:rPr>
              <w:t>例</w:t>
            </w:r>
            <w:r w:rsidR="00EC05DD">
              <w:rPr>
                <w:rFonts w:ascii="Times New Roman" w:eastAsia="標楷體" w:hAnsi="Times New Roman" w:cs="Times New Roman" w:hint="eastAsia"/>
                <w:kern w:val="0"/>
                <w:szCs w:val="24"/>
              </w:rPr>
              <w:t>，亦接獲其他</w:t>
            </w:r>
            <w:r w:rsidR="00026589">
              <w:rPr>
                <w:rFonts w:ascii="Times New Roman" w:eastAsia="標楷體" w:hAnsi="Times New Roman" w:cs="Times New Roman" w:hint="eastAsia"/>
                <w:kern w:val="0"/>
                <w:szCs w:val="24"/>
              </w:rPr>
              <w:t>具臨床意義</w:t>
            </w:r>
            <w:r w:rsidR="00EC05DD">
              <w:rPr>
                <w:rFonts w:ascii="Times New Roman" w:eastAsia="標楷體" w:hAnsi="Times New Roman" w:cs="Times New Roman" w:hint="eastAsia"/>
                <w:kern w:val="0"/>
                <w:szCs w:val="24"/>
              </w:rPr>
              <w:t>之肝損傷通報案例，</w:t>
            </w:r>
            <w:proofErr w:type="gramStart"/>
            <w:r w:rsidR="00EC05DD">
              <w:rPr>
                <w:rFonts w:ascii="Times New Roman" w:eastAsia="標楷體" w:hAnsi="Times New Roman" w:cs="Times New Roman" w:hint="eastAsia"/>
                <w:kern w:val="0"/>
                <w:szCs w:val="24"/>
              </w:rPr>
              <w:t>其</w:t>
            </w:r>
            <w:r w:rsidR="00451277" w:rsidRPr="00A5780C">
              <w:rPr>
                <w:rFonts w:ascii="Times New Roman" w:eastAsia="標楷體" w:hAnsi="Times New Roman" w:cs="Times New Roman" w:hint="eastAsia"/>
                <w:kern w:val="0"/>
                <w:szCs w:val="24"/>
              </w:rPr>
              <w:t>肝損傷</w:t>
            </w:r>
            <w:proofErr w:type="gramEnd"/>
            <w:r w:rsidR="00EC05DD">
              <w:rPr>
                <w:rFonts w:ascii="Times New Roman" w:eastAsia="標楷體" w:hAnsi="Times New Roman" w:cs="Times New Roman" w:hint="eastAsia"/>
                <w:kern w:val="0"/>
                <w:szCs w:val="24"/>
              </w:rPr>
              <w:t>症狀，</w:t>
            </w:r>
            <w:r w:rsidR="0066267D" w:rsidRPr="00A5780C">
              <w:rPr>
                <w:rFonts w:ascii="Times New Roman" w:eastAsia="標楷體" w:hAnsi="Times New Roman" w:cs="Times New Roman" w:hint="eastAsia"/>
                <w:kern w:val="0"/>
                <w:szCs w:val="24"/>
              </w:rPr>
              <w:t>包含</w:t>
            </w:r>
            <w:r w:rsidR="00026589" w:rsidRPr="00A5780C">
              <w:rPr>
                <w:rFonts w:ascii="Times New Roman" w:eastAsia="標楷體" w:hAnsi="Times New Roman" w:cs="Times New Roman" w:hint="eastAsia"/>
                <w:kern w:val="0"/>
                <w:szCs w:val="24"/>
              </w:rPr>
              <w:t>顯著</w:t>
            </w:r>
            <w:r w:rsidR="00026589">
              <w:rPr>
                <w:rFonts w:ascii="Times New Roman" w:eastAsia="標楷體" w:hAnsi="Times New Roman" w:cs="Times New Roman" w:hint="eastAsia"/>
                <w:kern w:val="0"/>
                <w:szCs w:val="24"/>
              </w:rPr>
              <w:t>的</w:t>
            </w:r>
            <w:r w:rsidR="0066267D" w:rsidRPr="00A5780C">
              <w:rPr>
                <w:rFonts w:ascii="Times New Roman" w:eastAsia="標楷體" w:hAnsi="Times New Roman" w:cs="Times New Roman" w:hint="eastAsia"/>
                <w:kern w:val="0"/>
                <w:szCs w:val="24"/>
              </w:rPr>
              <w:t>血清肝臟酵素上升及膽紅素上升</w:t>
            </w:r>
            <w:r w:rsidR="00EC05DD">
              <w:rPr>
                <w:rFonts w:ascii="Times New Roman" w:eastAsia="標楷體" w:hAnsi="Times New Roman" w:cs="Times New Roman" w:hint="eastAsia"/>
                <w:kern w:val="0"/>
                <w:szCs w:val="24"/>
              </w:rPr>
              <w:t>等</w:t>
            </w:r>
            <w:r w:rsidR="00EC05DD">
              <w:rPr>
                <w:rFonts w:ascii="Times New Roman" w:eastAsia="標楷體" w:hAnsi="Times New Roman" w:cs="Times New Roman" w:hint="eastAsia"/>
                <w:szCs w:val="24"/>
                <w:shd w:val="clear" w:color="auto" w:fill="FFFFFF"/>
              </w:rPr>
              <w:t>，而該等不良反應</w:t>
            </w:r>
            <w:r w:rsidR="00026589">
              <w:rPr>
                <w:rFonts w:ascii="Times New Roman" w:eastAsia="標楷體" w:hAnsi="Times New Roman" w:cs="Times New Roman" w:hint="eastAsia"/>
                <w:kern w:val="0"/>
                <w:szCs w:val="24"/>
              </w:rPr>
              <w:t>最早可</w:t>
            </w:r>
            <w:r w:rsidR="00EC05DD">
              <w:rPr>
                <w:rFonts w:ascii="Times New Roman" w:eastAsia="標楷體" w:hAnsi="Times New Roman" w:cs="Times New Roman" w:hint="eastAsia"/>
                <w:kern w:val="0"/>
                <w:szCs w:val="24"/>
              </w:rPr>
              <w:t>能</w:t>
            </w:r>
            <w:r w:rsidR="00026589">
              <w:rPr>
                <w:rFonts w:ascii="Times New Roman" w:eastAsia="標楷體" w:hAnsi="Times New Roman" w:cs="Times New Roman" w:hint="eastAsia"/>
                <w:kern w:val="0"/>
                <w:szCs w:val="24"/>
              </w:rPr>
              <w:t>在</w:t>
            </w:r>
            <w:r w:rsidR="00912BB5" w:rsidRPr="00A5780C">
              <w:rPr>
                <w:rFonts w:ascii="Times New Roman" w:eastAsia="標楷體" w:hAnsi="Times New Roman" w:cs="Times New Roman" w:hint="eastAsia"/>
                <w:kern w:val="0"/>
                <w:szCs w:val="24"/>
              </w:rPr>
              <w:t>首次</w:t>
            </w:r>
            <w:r w:rsidR="00026589">
              <w:rPr>
                <w:rFonts w:ascii="Times New Roman" w:eastAsia="標楷體" w:hAnsi="Times New Roman" w:cs="Times New Roman" w:hint="eastAsia"/>
                <w:kern w:val="0"/>
                <w:szCs w:val="24"/>
              </w:rPr>
              <w:t>給藥</w:t>
            </w:r>
            <w:r w:rsidR="00912BB5" w:rsidRPr="00A5780C">
              <w:rPr>
                <w:rFonts w:ascii="Times New Roman" w:eastAsia="標楷體" w:hAnsi="Times New Roman" w:cs="Times New Roman" w:hint="eastAsia"/>
                <w:kern w:val="0"/>
                <w:szCs w:val="24"/>
              </w:rPr>
              <w:t>的</w:t>
            </w:r>
            <w:r w:rsidR="0066267D" w:rsidRPr="00A5780C">
              <w:rPr>
                <w:rFonts w:ascii="Times New Roman" w:eastAsia="標楷體" w:hAnsi="Times New Roman" w:cs="Times New Roman" w:hint="eastAsia"/>
                <w:kern w:val="0"/>
                <w:szCs w:val="24"/>
              </w:rPr>
              <w:t>10</w:t>
            </w:r>
            <w:r w:rsidR="0066267D" w:rsidRPr="00A5780C">
              <w:rPr>
                <w:rFonts w:ascii="Times New Roman" w:eastAsia="標楷體" w:hAnsi="Times New Roman" w:cs="Times New Roman" w:hint="eastAsia"/>
                <w:kern w:val="0"/>
                <w:szCs w:val="24"/>
              </w:rPr>
              <w:t>天</w:t>
            </w:r>
            <w:r w:rsidR="00EC05DD">
              <w:rPr>
                <w:rFonts w:ascii="Times New Roman" w:eastAsia="標楷體" w:hAnsi="Times New Roman" w:cs="Times New Roman" w:hint="eastAsia"/>
                <w:kern w:val="0"/>
                <w:szCs w:val="24"/>
              </w:rPr>
              <w:t>後發生，</w:t>
            </w:r>
            <w:r w:rsidR="00026589">
              <w:rPr>
                <w:rFonts w:ascii="Times New Roman" w:eastAsia="標楷體" w:hAnsi="Times New Roman" w:cs="Times New Roman" w:hint="eastAsia"/>
                <w:kern w:val="0"/>
                <w:szCs w:val="24"/>
              </w:rPr>
              <w:t>亦</w:t>
            </w:r>
            <w:r w:rsidR="00EC05DD">
              <w:rPr>
                <w:rFonts w:ascii="Times New Roman" w:eastAsia="標楷體" w:hAnsi="Times New Roman" w:cs="Times New Roman" w:hint="eastAsia"/>
                <w:kern w:val="0"/>
                <w:szCs w:val="24"/>
              </w:rPr>
              <w:t>可能於</w:t>
            </w:r>
            <w:r w:rsidR="00026589">
              <w:rPr>
                <w:rFonts w:ascii="Times New Roman" w:eastAsia="標楷體" w:hAnsi="Times New Roman" w:cs="Times New Roman" w:hint="eastAsia"/>
                <w:kern w:val="0"/>
                <w:szCs w:val="24"/>
              </w:rPr>
              <w:t>長期</w:t>
            </w:r>
            <w:r w:rsidR="00EC05DD">
              <w:rPr>
                <w:rFonts w:ascii="Times New Roman" w:eastAsia="標楷體" w:hAnsi="Times New Roman" w:cs="Times New Roman" w:hint="eastAsia"/>
                <w:kern w:val="0"/>
                <w:szCs w:val="24"/>
              </w:rPr>
              <w:t>使用</w:t>
            </w:r>
            <w:r w:rsidR="00026589">
              <w:rPr>
                <w:rFonts w:ascii="Times New Roman" w:eastAsia="標楷體" w:hAnsi="Times New Roman" w:cs="Times New Roman" w:hint="eastAsia"/>
                <w:kern w:val="0"/>
                <w:szCs w:val="24"/>
              </w:rPr>
              <w:t>後發生</w:t>
            </w:r>
            <w:r w:rsidR="00912BB5" w:rsidRPr="00A5780C">
              <w:rPr>
                <w:rFonts w:ascii="Times New Roman" w:eastAsia="標楷體" w:hAnsi="Times New Roman" w:cs="Times New Roman" w:hint="eastAsia"/>
                <w:kern w:val="0"/>
                <w:szCs w:val="24"/>
              </w:rPr>
              <w:t>。</w:t>
            </w:r>
          </w:p>
          <w:p w:rsidR="00451277" w:rsidRPr="00A5780C" w:rsidRDefault="00451277" w:rsidP="00451277">
            <w:pPr>
              <w:widowControl/>
              <w:numPr>
                <w:ilvl w:val="0"/>
                <w:numId w:val="8"/>
              </w:numPr>
              <w:shd w:val="clear" w:color="auto" w:fill="FFFFFF"/>
              <w:jc w:val="both"/>
              <w:rPr>
                <w:rFonts w:ascii="Times New Roman" w:eastAsia="標楷體" w:hAnsi="Times New Roman" w:cs="Times New Roman"/>
                <w:kern w:val="0"/>
                <w:szCs w:val="24"/>
              </w:rPr>
            </w:pPr>
            <w:r w:rsidRPr="00A5780C">
              <w:rPr>
                <w:rFonts w:ascii="標楷體" w:eastAsia="標楷體" w:hAnsi="標楷體" w:hint="eastAsia"/>
                <w:bCs/>
                <w:kern w:val="36"/>
                <w:lang w:bidi="hi-IN"/>
              </w:rPr>
              <w:t>在</w:t>
            </w:r>
            <w:r w:rsidR="00026589">
              <w:rPr>
                <w:rFonts w:ascii="標楷體" w:eastAsia="標楷體" w:hAnsi="標楷體" w:hint="eastAsia"/>
                <w:bCs/>
                <w:kern w:val="36"/>
                <w:lang w:bidi="hi-IN"/>
              </w:rPr>
              <w:t>上市前</w:t>
            </w:r>
            <w:r w:rsidRPr="00A5780C">
              <w:rPr>
                <w:rFonts w:ascii="標楷體" w:eastAsia="標楷體" w:hAnsi="標楷體" w:hint="eastAsia"/>
                <w:shd w:val="clear" w:color="auto" w:fill="FFFFFF"/>
              </w:rPr>
              <w:t>臨床試驗</w:t>
            </w:r>
            <w:proofErr w:type="gramStart"/>
            <w:r w:rsidRPr="00A5780C">
              <w:rPr>
                <w:rFonts w:ascii="標楷體" w:eastAsia="標楷體" w:hAnsi="標楷體" w:hint="eastAsia"/>
                <w:shd w:val="clear" w:color="auto" w:fill="FFFFFF"/>
              </w:rPr>
              <w:t>期間</w:t>
            </w:r>
            <w:r w:rsidR="00912BB5" w:rsidRPr="00A5780C">
              <w:rPr>
                <w:rFonts w:ascii="標楷體" w:eastAsia="標楷體" w:hAnsi="標楷體" w:hint="eastAsia"/>
                <w:bCs/>
                <w:kern w:val="36"/>
                <w:lang w:bidi="hi-IN"/>
              </w:rPr>
              <w:t>，</w:t>
            </w:r>
            <w:proofErr w:type="gramEnd"/>
            <w:r w:rsidRPr="00A5780C">
              <w:rPr>
                <w:rFonts w:ascii="Times New Roman" w:eastAsia="標楷體" w:hAnsi="Times New Roman" w:cs="Times New Roman" w:hint="eastAsia"/>
                <w:szCs w:val="24"/>
              </w:rPr>
              <w:t>接受</w:t>
            </w:r>
            <w:r w:rsidR="00EC05DD">
              <w:rPr>
                <w:rFonts w:ascii="Times New Roman" w:eastAsia="標楷體" w:hAnsi="Times New Roman" w:cs="Times New Roman" w:hint="eastAsia"/>
                <w:color w:val="222222"/>
                <w:kern w:val="0"/>
                <w:szCs w:val="24"/>
              </w:rPr>
              <w:t>含</w:t>
            </w:r>
            <w:r w:rsidR="00EC05DD" w:rsidRPr="00571D69">
              <w:rPr>
                <w:rFonts w:ascii="Times New Roman" w:eastAsia="標楷體" w:hAnsi="Times New Roman" w:cs="Times New Roman" w:hint="eastAsia"/>
                <w:color w:val="222222"/>
                <w:kern w:val="0"/>
                <w:szCs w:val="24"/>
              </w:rPr>
              <w:t>fingolimod</w:t>
            </w:r>
            <w:r w:rsidR="00EC05DD">
              <w:rPr>
                <w:rFonts w:ascii="Times New Roman" w:eastAsia="標楷體" w:hAnsi="Times New Roman" w:cs="Times New Roman" w:hint="eastAsia"/>
                <w:color w:val="222222"/>
                <w:kern w:val="0"/>
                <w:szCs w:val="24"/>
              </w:rPr>
              <w:t>成分</w:t>
            </w:r>
            <w:r w:rsidR="00D97775" w:rsidRPr="00A5780C">
              <w:rPr>
                <w:rFonts w:ascii="Times New Roman" w:eastAsia="標楷體" w:hAnsi="Times New Roman" w:cs="Times New Roman" w:hint="eastAsia"/>
                <w:szCs w:val="24"/>
              </w:rPr>
              <w:t>0.5</w:t>
            </w:r>
            <w:r w:rsidRPr="00A5780C">
              <w:rPr>
                <w:rFonts w:ascii="Times New Roman" w:eastAsia="標楷體" w:hAnsi="Times New Roman" w:cs="Times New Roman" w:hint="eastAsia"/>
                <w:szCs w:val="24"/>
              </w:rPr>
              <w:t>毫克</w:t>
            </w:r>
            <w:r w:rsidR="00EC05DD">
              <w:rPr>
                <w:rFonts w:ascii="Times New Roman" w:eastAsia="標楷體" w:hAnsi="Times New Roman" w:cs="Times New Roman" w:hint="eastAsia"/>
                <w:szCs w:val="24"/>
              </w:rPr>
              <w:t>藥品</w:t>
            </w:r>
            <w:r w:rsidR="00D97775" w:rsidRPr="00A5780C">
              <w:rPr>
                <w:rFonts w:ascii="Times New Roman" w:eastAsia="標楷體" w:hAnsi="Times New Roman" w:cs="Times New Roman" w:hint="eastAsia"/>
                <w:szCs w:val="24"/>
              </w:rPr>
              <w:t>治療的成人</w:t>
            </w:r>
            <w:r w:rsidRPr="00A5780C">
              <w:rPr>
                <w:rFonts w:ascii="Times New Roman" w:eastAsia="標楷體" w:hAnsi="Times New Roman" w:cs="Times New Roman" w:hint="eastAsia"/>
                <w:szCs w:val="24"/>
              </w:rPr>
              <w:t>病人</w:t>
            </w:r>
            <w:r w:rsidR="00D97775" w:rsidRPr="00A5780C">
              <w:rPr>
                <w:rFonts w:ascii="Times New Roman" w:eastAsia="標楷體" w:hAnsi="Times New Roman" w:cs="Times New Roman" w:hint="eastAsia"/>
                <w:szCs w:val="24"/>
              </w:rPr>
              <w:t>有</w:t>
            </w:r>
            <w:r w:rsidRPr="00A5780C">
              <w:rPr>
                <w:rFonts w:ascii="Times New Roman" w:eastAsia="標楷體" w:hAnsi="Times New Roman" w:hint="eastAsia"/>
                <w:bCs/>
                <w:kern w:val="36"/>
                <w:lang w:bidi="hi-IN"/>
              </w:rPr>
              <w:t>8%</w:t>
            </w:r>
            <w:r w:rsidR="00D97775" w:rsidRPr="00A5780C">
              <w:rPr>
                <w:rFonts w:ascii="Times New Roman" w:eastAsia="標楷體" w:hAnsi="Times New Roman" w:hint="eastAsia"/>
                <w:bCs/>
                <w:kern w:val="36"/>
                <w:lang w:bidi="hi-IN"/>
              </w:rPr>
              <w:t>出現</w:t>
            </w:r>
            <w:r w:rsidR="0003662F" w:rsidRPr="00A5780C">
              <w:rPr>
                <w:rFonts w:ascii="Times New Roman" w:eastAsia="標楷體" w:hAnsi="Times New Roman" w:cs="Times New Roman" w:hint="eastAsia"/>
                <w:szCs w:val="24"/>
                <w:shd w:val="clear" w:color="auto" w:fill="FFFFFF"/>
              </w:rPr>
              <w:t>肝臟轉胺酶</w:t>
            </w:r>
            <w:r w:rsidR="0003662F">
              <w:rPr>
                <w:rFonts w:ascii="Times New Roman" w:eastAsia="標楷體" w:hAnsi="Times New Roman" w:hint="eastAsia"/>
                <w:bCs/>
                <w:kern w:val="36"/>
                <w:lang w:bidi="hi-IN"/>
              </w:rPr>
              <w:t>(</w:t>
            </w:r>
            <w:r w:rsidR="00912BB5" w:rsidRPr="00A5780C">
              <w:rPr>
                <w:rFonts w:ascii="Times New Roman" w:eastAsia="標楷體" w:hAnsi="Times New Roman" w:hint="eastAsia"/>
                <w:bCs/>
                <w:kern w:val="36"/>
                <w:lang w:bidi="hi-IN"/>
              </w:rPr>
              <w:t>ALT</w:t>
            </w:r>
            <w:r w:rsidR="0003662F">
              <w:rPr>
                <w:rFonts w:ascii="Times New Roman" w:eastAsia="標楷體" w:hAnsi="Times New Roman" w:hint="eastAsia"/>
                <w:bCs/>
                <w:kern w:val="36"/>
                <w:lang w:bidi="hi-IN"/>
              </w:rPr>
              <w:t>)</w:t>
            </w:r>
            <w:r w:rsidR="0003662F">
              <w:rPr>
                <w:rFonts w:ascii="Times New Roman" w:eastAsia="標楷體" w:hAnsi="Times New Roman" w:hint="eastAsia"/>
                <w:bCs/>
                <w:kern w:val="36"/>
                <w:lang w:bidi="hi-IN"/>
              </w:rPr>
              <w:t>上升超過</w:t>
            </w:r>
            <w:r w:rsidR="00912BB5" w:rsidRPr="00A5780C">
              <w:rPr>
                <w:rFonts w:ascii="Times New Roman" w:eastAsia="標楷體" w:hAnsi="Times New Roman" w:cs="Times New Roman" w:hint="eastAsia"/>
                <w:bCs/>
                <w:kern w:val="36"/>
                <w:lang w:bidi="hi-IN"/>
              </w:rPr>
              <w:t>正常值上限</w:t>
            </w:r>
            <w:r w:rsidR="00912BB5" w:rsidRPr="00A5780C">
              <w:rPr>
                <w:rFonts w:ascii="Times New Roman" w:eastAsia="標楷體" w:hAnsi="Times New Roman" w:cs="Times New Roman"/>
                <w:szCs w:val="24"/>
                <w:shd w:val="clear" w:color="auto" w:fill="FFFFFF"/>
              </w:rPr>
              <w:t>（</w:t>
            </w:r>
            <w:r w:rsidR="00D97775" w:rsidRPr="00A5780C">
              <w:rPr>
                <w:rFonts w:ascii="Times New Roman" w:eastAsia="標楷體" w:hAnsi="Times New Roman" w:cs="Times New Roman" w:hint="eastAsia"/>
                <w:kern w:val="0"/>
                <w:szCs w:val="24"/>
              </w:rPr>
              <w:t>u</w:t>
            </w:r>
            <w:r w:rsidR="00D97775" w:rsidRPr="00A5780C">
              <w:rPr>
                <w:rFonts w:ascii="Times New Roman" w:eastAsia="標楷體" w:hAnsi="Times New Roman" w:cs="Times New Roman"/>
                <w:kern w:val="0"/>
                <w:szCs w:val="24"/>
              </w:rPr>
              <w:t>pper limit of normal</w:t>
            </w:r>
            <w:r w:rsidR="00D97775" w:rsidRPr="00A5780C">
              <w:rPr>
                <w:rFonts w:ascii="Times New Roman" w:eastAsia="標楷體" w:hAnsi="Times New Roman" w:cs="Times New Roman" w:hint="eastAsia"/>
                <w:kern w:val="0"/>
                <w:szCs w:val="24"/>
              </w:rPr>
              <w:t>，</w:t>
            </w:r>
            <w:r w:rsidR="00D97775" w:rsidRPr="00A5780C">
              <w:rPr>
                <w:rFonts w:ascii="Times New Roman" w:eastAsia="標楷體" w:hAnsi="Times New Roman" w:cs="Times New Roman" w:hint="eastAsia"/>
                <w:kern w:val="0"/>
                <w:szCs w:val="24"/>
              </w:rPr>
              <w:t>ULN</w:t>
            </w:r>
            <w:r w:rsidR="00912BB5" w:rsidRPr="00A5780C">
              <w:rPr>
                <w:rFonts w:ascii="Times New Roman" w:eastAsia="標楷體" w:hAnsi="Times New Roman" w:cs="Times New Roman"/>
                <w:szCs w:val="24"/>
                <w:shd w:val="clear" w:color="auto" w:fill="FFFFFF"/>
              </w:rPr>
              <w:t>）</w:t>
            </w:r>
            <w:r w:rsidR="00A87FD4" w:rsidRPr="00A5780C">
              <w:rPr>
                <w:rFonts w:ascii="Times New Roman" w:eastAsia="標楷體" w:hAnsi="Times New Roman" w:hint="eastAsia"/>
                <w:bCs/>
                <w:kern w:val="36"/>
                <w:lang w:bidi="hi-IN"/>
              </w:rPr>
              <w:t>的</w:t>
            </w:r>
            <w:r w:rsidR="00A87FD4" w:rsidRPr="00A5780C">
              <w:rPr>
                <w:rFonts w:ascii="Times New Roman" w:eastAsia="標楷體" w:hAnsi="Times New Roman" w:cs="Times New Roman" w:hint="eastAsia"/>
                <w:bCs/>
                <w:kern w:val="36"/>
                <w:lang w:bidi="hi-IN"/>
              </w:rPr>
              <w:t>3</w:t>
            </w:r>
            <w:r w:rsidR="00A87FD4" w:rsidRPr="00A5780C">
              <w:rPr>
                <w:rFonts w:ascii="Times New Roman" w:eastAsia="標楷體" w:hAnsi="Times New Roman" w:cs="Times New Roman" w:hint="eastAsia"/>
                <w:bCs/>
                <w:kern w:val="36"/>
                <w:lang w:bidi="hi-IN"/>
              </w:rPr>
              <w:t>倍或以上</w:t>
            </w:r>
            <w:r w:rsidR="00D97775" w:rsidRPr="00A5780C">
              <w:rPr>
                <w:rFonts w:ascii="Times New Roman" w:eastAsia="標楷體" w:hAnsi="Times New Roman" w:cs="Times New Roman" w:hint="eastAsia"/>
                <w:szCs w:val="24"/>
                <w:shd w:val="clear" w:color="auto" w:fill="FFFFFF"/>
              </w:rPr>
              <w:t>，</w:t>
            </w:r>
            <w:r w:rsidR="0003662F">
              <w:rPr>
                <w:rFonts w:ascii="Times New Roman" w:eastAsia="標楷體" w:hAnsi="Times New Roman" w:cs="Times New Roman" w:hint="eastAsia"/>
                <w:szCs w:val="24"/>
                <w:shd w:val="clear" w:color="auto" w:fill="FFFFFF"/>
              </w:rPr>
              <w:t>有</w:t>
            </w:r>
            <w:r w:rsidR="00A87FD4" w:rsidRPr="00A5780C">
              <w:rPr>
                <w:rFonts w:ascii="Times New Roman" w:eastAsia="標楷體" w:hAnsi="Times New Roman" w:cs="Times New Roman" w:hint="eastAsia"/>
                <w:szCs w:val="24"/>
                <w:shd w:val="clear" w:color="auto" w:fill="FFFFFF"/>
              </w:rPr>
              <w:t>1.8%</w:t>
            </w:r>
            <w:r w:rsidR="00D97775" w:rsidRPr="00A5780C">
              <w:rPr>
                <w:rFonts w:ascii="Times New Roman" w:eastAsia="標楷體" w:hAnsi="Times New Roman" w:hint="eastAsia"/>
                <w:bCs/>
                <w:kern w:val="36"/>
                <w:lang w:bidi="hi-IN"/>
              </w:rPr>
              <w:t>出現</w:t>
            </w:r>
            <w:r w:rsidR="00D97775" w:rsidRPr="00A5780C">
              <w:rPr>
                <w:rFonts w:ascii="Times New Roman" w:eastAsia="標楷體" w:hAnsi="Times New Roman" w:hint="eastAsia"/>
                <w:bCs/>
                <w:kern w:val="36"/>
                <w:lang w:bidi="hi-IN"/>
              </w:rPr>
              <w:t>ALT</w:t>
            </w:r>
            <w:r w:rsidR="0003662F">
              <w:rPr>
                <w:rFonts w:ascii="Times New Roman" w:eastAsia="標楷體" w:hAnsi="Times New Roman" w:hint="eastAsia"/>
                <w:bCs/>
                <w:kern w:val="36"/>
                <w:lang w:bidi="hi-IN"/>
              </w:rPr>
              <w:t>上升超過</w:t>
            </w:r>
            <w:r w:rsidR="00D97775" w:rsidRPr="00A5780C">
              <w:rPr>
                <w:rFonts w:ascii="Times New Roman" w:eastAsia="標楷體" w:hAnsi="Times New Roman" w:cs="Times New Roman" w:hint="eastAsia"/>
                <w:bCs/>
                <w:kern w:val="36"/>
                <w:lang w:bidi="hi-IN"/>
              </w:rPr>
              <w:t>正常值上限</w:t>
            </w:r>
            <w:r w:rsidR="00A87FD4" w:rsidRPr="00A5780C">
              <w:rPr>
                <w:rFonts w:ascii="Times New Roman" w:eastAsia="標楷體" w:hAnsi="Times New Roman" w:hint="eastAsia"/>
                <w:bCs/>
                <w:kern w:val="36"/>
                <w:lang w:bidi="hi-IN"/>
              </w:rPr>
              <w:t>的</w:t>
            </w:r>
            <w:r w:rsidR="00A87FD4" w:rsidRPr="00A5780C">
              <w:rPr>
                <w:rFonts w:ascii="Times New Roman" w:eastAsia="標楷體" w:hAnsi="Times New Roman" w:cs="Times New Roman" w:hint="eastAsia"/>
                <w:bCs/>
                <w:kern w:val="36"/>
                <w:lang w:bidi="hi-IN"/>
              </w:rPr>
              <w:t>5</w:t>
            </w:r>
            <w:r w:rsidR="00A87FD4" w:rsidRPr="00A5780C">
              <w:rPr>
                <w:rFonts w:ascii="Times New Roman" w:eastAsia="標楷體" w:hAnsi="Times New Roman" w:cs="Times New Roman" w:hint="eastAsia"/>
                <w:bCs/>
                <w:kern w:val="36"/>
                <w:lang w:bidi="hi-IN"/>
              </w:rPr>
              <w:t>倍</w:t>
            </w:r>
            <w:r w:rsidR="00026589">
              <w:rPr>
                <w:rFonts w:ascii="Times New Roman" w:eastAsia="標楷體" w:hAnsi="Times New Roman" w:cs="Times New Roman" w:hint="eastAsia"/>
                <w:szCs w:val="24"/>
                <w:shd w:val="clear" w:color="auto" w:fill="FFFFFF"/>
              </w:rPr>
              <w:t>。當病人</w:t>
            </w:r>
            <w:r w:rsidR="0003662F">
              <w:rPr>
                <w:rFonts w:ascii="Times New Roman" w:eastAsia="標楷體" w:hAnsi="Times New Roman" w:cs="Times New Roman" w:hint="eastAsia"/>
                <w:szCs w:val="24"/>
                <w:shd w:val="clear" w:color="auto" w:fill="FFFFFF"/>
              </w:rPr>
              <w:t>ALT</w:t>
            </w:r>
            <w:r w:rsidR="0003662F">
              <w:rPr>
                <w:rFonts w:ascii="Times New Roman" w:eastAsia="標楷體" w:hAnsi="Times New Roman" w:cs="Times New Roman" w:hint="eastAsia"/>
                <w:szCs w:val="24"/>
                <w:shd w:val="clear" w:color="auto" w:fill="FFFFFF"/>
              </w:rPr>
              <w:t>上升</w:t>
            </w:r>
            <w:r w:rsidR="001B56EF" w:rsidRPr="00A5780C">
              <w:rPr>
                <w:rFonts w:ascii="Times New Roman" w:eastAsia="標楷體" w:hAnsi="Times New Roman" w:cs="Times New Roman" w:hint="eastAsia"/>
                <w:szCs w:val="24"/>
                <w:shd w:val="clear" w:color="auto" w:fill="FFFFFF"/>
              </w:rPr>
              <w:t>超過</w:t>
            </w:r>
            <w:r w:rsidR="0003662F" w:rsidRPr="00A5780C">
              <w:rPr>
                <w:rFonts w:ascii="Times New Roman" w:eastAsia="標楷體" w:hAnsi="Times New Roman" w:cs="Times New Roman" w:hint="eastAsia"/>
                <w:bCs/>
                <w:kern w:val="36"/>
                <w:lang w:bidi="hi-IN"/>
              </w:rPr>
              <w:t>正常值上限</w:t>
            </w:r>
            <w:r w:rsidR="001B56EF" w:rsidRPr="00A5780C">
              <w:rPr>
                <w:rFonts w:ascii="Times New Roman" w:eastAsia="標楷體" w:hAnsi="Times New Roman" w:cs="Times New Roman" w:hint="eastAsia"/>
                <w:bCs/>
                <w:kern w:val="36"/>
                <w:lang w:bidi="hi-IN"/>
              </w:rPr>
              <w:t>5</w:t>
            </w:r>
            <w:r w:rsidR="009E56DE" w:rsidRPr="00A5780C">
              <w:rPr>
                <w:rFonts w:ascii="Times New Roman" w:eastAsia="標楷體" w:hAnsi="Times New Roman" w:cs="Times New Roman" w:hint="eastAsia"/>
                <w:bCs/>
                <w:kern w:val="36"/>
                <w:lang w:bidi="hi-IN"/>
              </w:rPr>
              <w:t>倍</w:t>
            </w:r>
            <w:r w:rsidR="00026589">
              <w:rPr>
                <w:rFonts w:ascii="Times New Roman" w:eastAsia="標楷體" w:hAnsi="Times New Roman" w:cs="Times New Roman" w:hint="eastAsia"/>
                <w:bCs/>
                <w:kern w:val="36"/>
                <w:lang w:bidi="hi-IN"/>
              </w:rPr>
              <w:t>時</w:t>
            </w:r>
            <w:r w:rsidR="0003662F">
              <w:rPr>
                <w:rFonts w:ascii="Times New Roman" w:eastAsia="標楷體" w:hAnsi="Times New Roman" w:cs="Times New Roman" w:hint="eastAsia"/>
                <w:bCs/>
                <w:kern w:val="36"/>
                <w:lang w:bidi="hi-IN"/>
              </w:rPr>
              <w:t>應</w:t>
            </w:r>
            <w:r w:rsidR="001B56EF" w:rsidRPr="00A5780C">
              <w:rPr>
                <w:rFonts w:ascii="Times New Roman" w:eastAsia="標楷體" w:hAnsi="Times New Roman" w:cs="Times New Roman" w:hint="eastAsia"/>
                <w:bCs/>
                <w:kern w:val="36"/>
                <w:lang w:bidi="hi-IN"/>
              </w:rPr>
              <w:t>停</w:t>
            </w:r>
            <w:r w:rsidR="0003662F">
              <w:rPr>
                <w:rFonts w:ascii="Times New Roman" w:eastAsia="標楷體" w:hAnsi="Times New Roman" w:cs="Times New Roman" w:hint="eastAsia"/>
                <w:color w:val="222222"/>
                <w:kern w:val="0"/>
                <w:szCs w:val="24"/>
              </w:rPr>
              <w:t>藥</w:t>
            </w:r>
            <w:r w:rsidR="001B56EF" w:rsidRPr="00A5780C">
              <w:rPr>
                <w:rFonts w:ascii="Times New Roman" w:eastAsia="標楷體" w:hAnsi="Times New Roman" w:cs="Times New Roman" w:hint="eastAsia"/>
                <w:szCs w:val="24"/>
              </w:rPr>
              <w:t>，</w:t>
            </w:r>
            <w:r w:rsidR="0003662F">
              <w:rPr>
                <w:rFonts w:ascii="Times New Roman" w:eastAsia="標楷體" w:hAnsi="Times New Roman" w:cs="Times New Roman" w:hint="eastAsia"/>
                <w:szCs w:val="24"/>
              </w:rPr>
              <w:t>且</w:t>
            </w:r>
            <w:r w:rsidR="00026589">
              <w:rPr>
                <w:rFonts w:ascii="Times New Roman" w:eastAsia="標楷體" w:hAnsi="Times New Roman" w:cs="Times New Roman" w:hint="eastAsia"/>
                <w:szCs w:val="24"/>
              </w:rPr>
              <w:t>部分病人於</w:t>
            </w:r>
            <w:r w:rsidR="0003662F">
              <w:rPr>
                <w:rFonts w:ascii="Times New Roman" w:eastAsia="標楷體" w:hAnsi="Times New Roman" w:cs="Times New Roman" w:hint="eastAsia"/>
                <w:szCs w:val="24"/>
              </w:rPr>
              <w:t>停藥後再次使用</w:t>
            </w:r>
            <w:r w:rsidR="0003662F">
              <w:rPr>
                <w:rFonts w:ascii="Times New Roman" w:eastAsia="標楷體" w:hAnsi="Times New Roman" w:cs="Times New Roman" w:hint="eastAsia"/>
                <w:color w:val="222222"/>
                <w:kern w:val="0"/>
                <w:szCs w:val="24"/>
              </w:rPr>
              <w:t>含</w:t>
            </w:r>
            <w:r w:rsidR="0003662F" w:rsidRPr="00571D69">
              <w:rPr>
                <w:rFonts w:ascii="Times New Roman" w:eastAsia="標楷體" w:hAnsi="Times New Roman" w:cs="Times New Roman" w:hint="eastAsia"/>
                <w:color w:val="222222"/>
                <w:kern w:val="0"/>
                <w:szCs w:val="24"/>
              </w:rPr>
              <w:t>fingolimod</w:t>
            </w:r>
            <w:r w:rsidR="0003662F">
              <w:rPr>
                <w:rFonts w:ascii="Times New Roman" w:eastAsia="標楷體" w:hAnsi="Times New Roman" w:cs="Times New Roman" w:hint="eastAsia"/>
                <w:color w:val="222222"/>
                <w:kern w:val="0"/>
                <w:szCs w:val="24"/>
              </w:rPr>
              <w:t>成分藥品</w:t>
            </w:r>
            <w:r w:rsidR="009E56DE" w:rsidRPr="00A5780C">
              <w:rPr>
                <w:rFonts w:ascii="Times New Roman" w:eastAsia="標楷體" w:hAnsi="Times New Roman" w:cs="Times New Roman" w:hint="eastAsia"/>
                <w:szCs w:val="24"/>
              </w:rPr>
              <w:t>治療</w:t>
            </w:r>
            <w:r w:rsidR="0003662F">
              <w:rPr>
                <w:rFonts w:ascii="Times New Roman" w:eastAsia="標楷體" w:hAnsi="Times New Roman" w:cs="Times New Roman" w:hint="eastAsia"/>
                <w:szCs w:val="24"/>
              </w:rPr>
              <w:t>會</w:t>
            </w:r>
            <w:r w:rsidR="009E56DE" w:rsidRPr="00A5780C">
              <w:rPr>
                <w:rFonts w:ascii="Times New Roman" w:eastAsia="標楷體" w:hAnsi="Times New Roman" w:cs="Times New Roman" w:hint="eastAsia"/>
                <w:szCs w:val="24"/>
              </w:rPr>
              <w:t>再次發生</w:t>
            </w:r>
            <w:r w:rsidR="0003662F">
              <w:rPr>
                <w:rFonts w:ascii="Times New Roman" w:eastAsia="標楷體" w:hAnsi="Times New Roman" w:cs="Times New Roman" w:hint="eastAsia"/>
                <w:szCs w:val="24"/>
                <w:shd w:val="clear" w:color="auto" w:fill="FFFFFF"/>
              </w:rPr>
              <w:t>ALT</w:t>
            </w:r>
            <w:r w:rsidR="0003662F" w:rsidRPr="00A5780C">
              <w:rPr>
                <w:rFonts w:ascii="Times New Roman" w:eastAsia="標楷體" w:hAnsi="Times New Roman" w:cs="Times New Roman" w:hint="eastAsia"/>
                <w:szCs w:val="24"/>
                <w:shd w:val="clear" w:color="auto" w:fill="FFFFFF"/>
              </w:rPr>
              <w:t>上升</w:t>
            </w:r>
            <w:r w:rsidR="009E56DE" w:rsidRPr="00A5780C">
              <w:rPr>
                <w:rFonts w:ascii="Times New Roman" w:eastAsia="標楷體" w:hAnsi="Times New Roman" w:cs="Times New Roman" w:hint="eastAsia"/>
                <w:szCs w:val="24"/>
                <w:shd w:val="clear" w:color="auto" w:fill="FFFFFF"/>
              </w:rPr>
              <w:t>，顯示</w:t>
            </w:r>
            <w:r w:rsidR="0003662F">
              <w:rPr>
                <w:rFonts w:ascii="Times New Roman" w:eastAsia="標楷體" w:hAnsi="Times New Roman" w:cs="Times New Roman" w:hint="eastAsia"/>
                <w:szCs w:val="24"/>
                <w:shd w:val="clear" w:color="auto" w:fill="FFFFFF"/>
              </w:rPr>
              <w:t>該</w:t>
            </w:r>
            <w:r w:rsidR="009E56DE" w:rsidRPr="00A5780C">
              <w:rPr>
                <w:rFonts w:ascii="Times New Roman" w:eastAsia="標楷體" w:hAnsi="Times New Roman" w:cs="Times New Roman" w:hint="eastAsia"/>
                <w:szCs w:val="24"/>
                <w:shd w:val="clear" w:color="auto" w:fill="FFFFFF"/>
              </w:rPr>
              <w:t>不良反應與</w:t>
            </w:r>
            <w:r w:rsidR="0003662F">
              <w:rPr>
                <w:rFonts w:ascii="Times New Roman" w:eastAsia="標楷體" w:hAnsi="Times New Roman" w:cs="Times New Roman" w:hint="eastAsia"/>
                <w:szCs w:val="24"/>
              </w:rPr>
              <w:t>該成分</w:t>
            </w:r>
            <w:proofErr w:type="gramStart"/>
            <w:r w:rsidR="0003662F">
              <w:rPr>
                <w:rFonts w:ascii="Times New Roman" w:eastAsia="標楷體" w:hAnsi="Times New Roman" w:cs="Times New Roman" w:hint="eastAsia"/>
                <w:szCs w:val="24"/>
              </w:rPr>
              <w:t>藥品</w:t>
            </w:r>
            <w:r w:rsidR="00026589">
              <w:rPr>
                <w:rFonts w:ascii="Times New Roman" w:eastAsia="標楷體" w:hAnsi="Times New Roman" w:cs="Times New Roman" w:hint="eastAsia"/>
                <w:szCs w:val="24"/>
              </w:rPr>
              <w:t>間具相關</w:t>
            </w:r>
            <w:r w:rsidR="004C320F" w:rsidRPr="00A5780C">
              <w:rPr>
                <w:rFonts w:ascii="Times New Roman" w:eastAsia="標楷體" w:hAnsi="Times New Roman" w:cs="Times New Roman" w:hint="eastAsia"/>
                <w:szCs w:val="24"/>
              </w:rPr>
              <w:t>性</w:t>
            </w:r>
            <w:proofErr w:type="gramEnd"/>
            <w:r w:rsidR="009E56DE" w:rsidRPr="00A5780C">
              <w:rPr>
                <w:rFonts w:ascii="Times New Roman" w:eastAsia="標楷體" w:hAnsi="Times New Roman" w:cs="Times New Roman" w:hint="eastAsia"/>
                <w:szCs w:val="24"/>
              </w:rPr>
              <w:t>。</w:t>
            </w:r>
          </w:p>
          <w:p w:rsidR="00FB3254" w:rsidRPr="00A5780C" w:rsidRDefault="0003662F" w:rsidP="00FB3254">
            <w:pPr>
              <w:widowControl/>
              <w:numPr>
                <w:ilvl w:val="0"/>
                <w:numId w:val="8"/>
              </w:numPr>
              <w:shd w:val="clear" w:color="auto" w:fill="FFFFFF"/>
              <w:jc w:val="both"/>
              <w:rPr>
                <w:rFonts w:ascii="Times New Roman" w:eastAsia="標楷體" w:hAnsi="Times New Roman" w:cs="Times New Roman"/>
                <w:kern w:val="0"/>
                <w:szCs w:val="24"/>
              </w:rPr>
            </w:pPr>
            <w:r>
              <w:rPr>
                <w:rFonts w:ascii="Times New Roman" w:eastAsia="標楷體" w:hAnsi="Times New Roman" w:cs="Times New Roman" w:hint="eastAsia"/>
                <w:szCs w:val="24"/>
                <w:shd w:val="clear" w:color="auto" w:fill="FFFFFF"/>
              </w:rPr>
              <w:t>ALT</w:t>
            </w:r>
            <w:r w:rsidRPr="00A5780C">
              <w:rPr>
                <w:rFonts w:ascii="Times New Roman" w:eastAsia="標楷體" w:hAnsi="Times New Roman" w:cs="Times New Roman" w:hint="eastAsia"/>
                <w:szCs w:val="24"/>
                <w:shd w:val="clear" w:color="auto" w:fill="FFFFFF"/>
              </w:rPr>
              <w:t>上升</w:t>
            </w:r>
            <w:r w:rsidR="004C320F" w:rsidRPr="00A5780C">
              <w:rPr>
                <w:rFonts w:ascii="Times New Roman" w:eastAsia="標楷體" w:hAnsi="Times New Roman" w:cs="Times New Roman" w:hint="eastAsia"/>
                <w:szCs w:val="24"/>
                <w:shd w:val="clear" w:color="auto" w:fill="FFFFFF"/>
              </w:rPr>
              <w:t>為</w:t>
            </w:r>
            <w:r>
              <w:rPr>
                <w:rFonts w:ascii="Times New Roman" w:eastAsia="標楷體" w:hAnsi="Times New Roman" w:cs="Times New Roman" w:hint="eastAsia"/>
                <w:color w:val="222222"/>
                <w:kern w:val="0"/>
                <w:szCs w:val="24"/>
              </w:rPr>
              <w:t>含</w:t>
            </w:r>
            <w:r w:rsidRPr="00571D69">
              <w:rPr>
                <w:rFonts w:ascii="Times New Roman" w:eastAsia="標楷體" w:hAnsi="Times New Roman" w:cs="Times New Roman" w:hint="eastAsia"/>
                <w:color w:val="222222"/>
                <w:kern w:val="0"/>
                <w:szCs w:val="24"/>
              </w:rPr>
              <w:t>fingolimod</w:t>
            </w:r>
            <w:r>
              <w:rPr>
                <w:rFonts w:ascii="Times New Roman" w:eastAsia="標楷體" w:hAnsi="Times New Roman" w:cs="Times New Roman" w:hint="eastAsia"/>
                <w:color w:val="222222"/>
                <w:kern w:val="0"/>
                <w:szCs w:val="24"/>
              </w:rPr>
              <w:t>成分藥品</w:t>
            </w:r>
            <w:r w:rsidR="004C320F" w:rsidRPr="00A5780C">
              <w:rPr>
                <w:rFonts w:ascii="Times New Roman" w:eastAsia="標楷體" w:hAnsi="Times New Roman" w:cs="Times New Roman" w:hint="eastAsia"/>
                <w:szCs w:val="24"/>
              </w:rPr>
              <w:t>非常常見</w:t>
            </w:r>
            <w:r>
              <w:rPr>
                <w:rFonts w:ascii="Times New Roman" w:eastAsia="標楷體" w:hAnsi="Times New Roman" w:cs="Times New Roman" w:hint="eastAsia"/>
                <w:szCs w:val="24"/>
              </w:rPr>
              <w:t>之</w:t>
            </w:r>
            <w:r w:rsidR="004C320F" w:rsidRPr="00A5780C">
              <w:rPr>
                <w:rFonts w:ascii="Times New Roman" w:eastAsia="標楷體" w:hAnsi="Times New Roman" w:cs="Times New Roman" w:hint="eastAsia"/>
                <w:szCs w:val="24"/>
              </w:rPr>
              <w:t>不良反應，但</w:t>
            </w:r>
            <w:r>
              <w:rPr>
                <w:rFonts w:ascii="Times New Roman" w:eastAsia="標楷體" w:hAnsi="Times New Roman" w:cs="Times New Roman" w:hint="eastAsia"/>
                <w:szCs w:val="24"/>
              </w:rPr>
              <w:t>依據</w:t>
            </w:r>
            <w:r w:rsidR="004C320F" w:rsidRPr="00A5780C">
              <w:rPr>
                <w:rFonts w:ascii="Times New Roman" w:eastAsia="標楷體" w:hAnsi="Times New Roman" w:cs="Times New Roman" w:hint="eastAsia"/>
                <w:szCs w:val="24"/>
              </w:rPr>
              <w:t>近期接獲</w:t>
            </w:r>
            <w:r>
              <w:rPr>
                <w:rFonts w:ascii="Times New Roman" w:eastAsia="標楷體" w:hAnsi="Times New Roman" w:cs="Times New Roman" w:hint="eastAsia"/>
                <w:szCs w:val="24"/>
              </w:rPr>
              <w:t>通報</w:t>
            </w:r>
            <w:r w:rsidR="004C320F" w:rsidRPr="00A5780C">
              <w:rPr>
                <w:rFonts w:ascii="Times New Roman" w:eastAsia="標楷體" w:hAnsi="Times New Roman" w:cs="Times New Roman" w:hint="eastAsia"/>
                <w:szCs w:val="24"/>
              </w:rPr>
              <w:t>案例</w:t>
            </w:r>
            <w:r>
              <w:rPr>
                <w:rFonts w:ascii="Times New Roman" w:eastAsia="標楷體" w:hAnsi="Times New Roman" w:cs="Times New Roman" w:hint="eastAsia"/>
                <w:szCs w:val="24"/>
              </w:rPr>
              <w:t>之</w:t>
            </w:r>
            <w:r w:rsidR="00ED4CA3">
              <w:rPr>
                <w:rFonts w:ascii="Times New Roman" w:eastAsia="標楷體" w:hAnsi="Times New Roman" w:cs="Times New Roman" w:hint="eastAsia"/>
                <w:szCs w:val="24"/>
              </w:rPr>
              <w:t>嚴重</w:t>
            </w:r>
            <w:r>
              <w:rPr>
                <w:rFonts w:ascii="Times New Roman" w:eastAsia="標楷體" w:hAnsi="Times New Roman" w:cs="Times New Roman" w:hint="eastAsia"/>
                <w:szCs w:val="24"/>
              </w:rPr>
              <w:t>情形</w:t>
            </w:r>
            <w:r w:rsidR="004C320F" w:rsidRPr="00A5780C">
              <w:rPr>
                <w:rFonts w:ascii="Times New Roman" w:eastAsia="標楷體" w:hAnsi="Times New Roman" w:cs="Times New Roman" w:hint="eastAsia"/>
                <w:szCs w:val="24"/>
              </w:rPr>
              <w:t>，</w:t>
            </w:r>
            <w:r w:rsidR="00D34AED">
              <w:rPr>
                <w:rFonts w:ascii="Times New Roman" w:eastAsia="標楷體" w:hAnsi="Times New Roman" w:cs="Times New Roman" w:hint="eastAsia"/>
                <w:szCs w:val="24"/>
              </w:rPr>
              <w:t>EMA</w:t>
            </w:r>
            <w:r w:rsidR="00D34AED">
              <w:rPr>
                <w:rFonts w:ascii="Times New Roman" w:eastAsia="標楷體" w:hAnsi="Times New Roman" w:cs="Times New Roman" w:hint="eastAsia"/>
                <w:szCs w:val="24"/>
              </w:rPr>
              <w:t>將強化</w:t>
            </w:r>
            <w:r>
              <w:rPr>
                <w:rFonts w:ascii="Times New Roman" w:eastAsia="標楷體" w:hAnsi="Times New Roman" w:cs="Times New Roman" w:hint="eastAsia"/>
                <w:szCs w:val="24"/>
              </w:rPr>
              <w:t>該成分</w:t>
            </w:r>
            <w:r w:rsidR="00D34AED">
              <w:rPr>
                <w:rFonts w:ascii="Times New Roman" w:eastAsia="標楷體" w:hAnsi="Times New Roman" w:cs="Times New Roman" w:hint="eastAsia"/>
                <w:szCs w:val="24"/>
              </w:rPr>
              <w:t>藥品</w:t>
            </w:r>
            <w:r w:rsidR="00FB3254" w:rsidRPr="00A5780C">
              <w:rPr>
                <w:rFonts w:ascii="Times New Roman" w:eastAsia="標楷體" w:hAnsi="Times New Roman" w:cs="Times New Roman" w:hint="eastAsia"/>
                <w:szCs w:val="24"/>
              </w:rPr>
              <w:t>仿單中有關肝功能監測和停藥標準之建議以降低</w:t>
            </w:r>
            <w:r w:rsidR="00FB3254" w:rsidRPr="00A5780C">
              <w:rPr>
                <w:rFonts w:ascii="Times New Roman" w:eastAsia="標楷體" w:hAnsi="Times New Roman" w:cs="Times New Roman" w:hint="eastAsia"/>
                <w:szCs w:val="24"/>
              </w:rPr>
              <w:t>DILI</w:t>
            </w:r>
            <w:r w:rsidR="00FB3254" w:rsidRPr="00A5780C">
              <w:rPr>
                <w:rFonts w:ascii="Times New Roman" w:eastAsia="標楷體" w:hAnsi="Times New Roman" w:cs="Times New Roman" w:hint="eastAsia"/>
                <w:szCs w:val="24"/>
              </w:rPr>
              <w:t>風險：</w:t>
            </w:r>
          </w:p>
          <w:p w:rsidR="00951631" w:rsidRPr="00A5780C" w:rsidRDefault="00FB3254" w:rsidP="00951631">
            <w:pPr>
              <w:pStyle w:val="aa"/>
              <w:widowControl/>
              <w:numPr>
                <w:ilvl w:val="0"/>
                <w:numId w:val="9"/>
              </w:numPr>
              <w:shd w:val="clear" w:color="auto" w:fill="FFFFFF"/>
              <w:ind w:leftChars="0" w:left="873" w:hanging="393"/>
              <w:jc w:val="both"/>
              <w:rPr>
                <w:rFonts w:ascii="Times New Roman" w:eastAsia="標楷體" w:hAnsi="Times New Roman" w:cs="Times New Roman"/>
                <w:kern w:val="0"/>
                <w:szCs w:val="24"/>
              </w:rPr>
            </w:pPr>
            <w:r w:rsidRPr="00A5780C">
              <w:rPr>
                <w:rFonts w:ascii="標楷體" w:eastAsia="標楷體" w:hAnsi="標楷體" w:hint="eastAsia"/>
                <w:shd w:val="clear" w:color="auto" w:fill="FFFFFF"/>
              </w:rPr>
              <w:t>在</w:t>
            </w:r>
            <w:r w:rsidR="00951631" w:rsidRPr="00A5780C">
              <w:rPr>
                <w:rFonts w:ascii="標楷體" w:eastAsia="標楷體" w:hAnsi="標楷體" w:hint="eastAsia"/>
                <w:shd w:val="clear" w:color="auto" w:fill="FFFFFF"/>
              </w:rPr>
              <w:t>開始</w:t>
            </w:r>
            <w:r w:rsidRPr="00A5780C">
              <w:rPr>
                <w:rFonts w:ascii="標楷體" w:eastAsia="標楷體" w:hAnsi="標楷體" w:hint="eastAsia"/>
                <w:shd w:val="clear" w:color="auto" w:fill="FFFFFF"/>
              </w:rPr>
              <w:t>治療前、治療期間</w:t>
            </w:r>
            <w:r w:rsidR="00951631" w:rsidRPr="00A5780C">
              <w:rPr>
                <w:rFonts w:ascii="標楷體" w:eastAsia="標楷體" w:hAnsi="標楷體" w:hint="eastAsia"/>
                <w:shd w:val="clear" w:color="auto" w:fill="FFFFFF"/>
              </w:rPr>
              <w:t>的</w:t>
            </w:r>
            <w:r w:rsidRPr="00A5780C">
              <w:rPr>
                <w:rFonts w:ascii="標楷體" w:eastAsia="標楷體" w:hAnsi="標楷體" w:hint="eastAsia"/>
                <w:shd w:val="clear" w:color="auto" w:fill="FFFFFF"/>
              </w:rPr>
              <w:t>第</w:t>
            </w:r>
            <w:r w:rsidRPr="00A5780C">
              <w:rPr>
                <w:rFonts w:ascii="Times New Roman" w:hAnsi="Times New Roman" w:cs="Times New Roman"/>
                <w:shd w:val="clear" w:color="auto" w:fill="FFFFFF"/>
              </w:rPr>
              <w:t>1</w:t>
            </w:r>
            <w:r w:rsidRPr="00A5780C">
              <w:rPr>
                <w:rFonts w:ascii="標楷體" w:eastAsia="標楷體" w:hAnsi="標楷體" w:hint="eastAsia"/>
                <w:shd w:val="clear" w:color="auto" w:fill="FFFFFF"/>
              </w:rPr>
              <w:t>、</w:t>
            </w:r>
            <w:r w:rsidRPr="00A5780C">
              <w:rPr>
                <w:rFonts w:ascii="Times New Roman" w:hAnsi="Times New Roman" w:cs="Times New Roman"/>
                <w:shd w:val="clear" w:color="auto" w:fill="FFFFFF"/>
              </w:rPr>
              <w:t>3</w:t>
            </w:r>
            <w:r w:rsidRPr="00A5780C">
              <w:rPr>
                <w:rFonts w:ascii="標楷體" w:eastAsia="標楷體" w:hAnsi="標楷體" w:hint="eastAsia"/>
                <w:shd w:val="clear" w:color="auto" w:fill="FFFFFF"/>
              </w:rPr>
              <w:t>、</w:t>
            </w:r>
            <w:r w:rsidRPr="00A5780C">
              <w:rPr>
                <w:rFonts w:ascii="Times New Roman" w:hAnsi="Times New Roman" w:cs="Times New Roman"/>
                <w:shd w:val="clear" w:color="auto" w:fill="FFFFFF"/>
              </w:rPr>
              <w:t>6</w:t>
            </w:r>
            <w:r w:rsidRPr="00A5780C">
              <w:rPr>
                <w:rFonts w:ascii="標楷體" w:eastAsia="標楷體" w:hAnsi="標楷體" w:hint="eastAsia"/>
                <w:shd w:val="clear" w:color="auto" w:fill="FFFFFF"/>
              </w:rPr>
              <w:t>、</w:t>
            </w:r>
            <w:r w:rsidRPr="00A5780C">
              <w:rPr>
                <w:rFonts w:ascii="Times New Roman" w:hAnsi="Times New Roman" w:cs="Times New Roman"/>
                <w:shd w:val="clear" w:color="auto" w:fill="FFFFFF"/>
              </w:rPr>
              <w:t>9</w:t>
            </w:r>
            <w:r w:rsidRPr="00A5780C">
              <w:rPr>
                <w:rFonts w:ascii="標楷體" w:eastAsia="標楷體" w:hAnsi="標楷體" w:hint="eastAsia"/>
                <w:shd w:val="clear" w:color="auto" w:fill="FFFFFF"/>
              </w:rPr>
              <w:t>及第</w:t>
            </w:r>
            <w:r w:rsidRPr="00A5780C">
              <w:rPr>
                <w:rFonts w:ascii="Times New Roman" w:hAnsi="Times New Roman" w:cs="Times New Roman"/>
                <w:shd w:val="clear" w:color="auto" w:fill="FFFFFF"/>
              </w:rPr>
              <w:t>12</w:t>
            </w:r>
            <w:r w:rsidRPr="00A5780C">
              <w:rPr>
                <w:rFonts w:ascii="標楷體" w:eastAsia="標楷體" w:hAnsi="標楷體" w:hint="eastAsia"/>
                <w:shd w:val="clear" w:color="auto" w:fill="FFFFFF"/>
              </w:rPr>
              <w:t>個月應執行肝功能檢查</w:t>
            </w:r>
            <w:r w:rsidR="00951631" w:rsidRPr="00A5780C">
              <w:rPr>
                <w:rFonts w:ascii="Times New Roman" w:eastAsia="標楷體" w:hAnsi="Times New Roman" w:cs="Times New Roman"/>
                <w:szCs w:val="24"/>
                <w:shd w:val="clear" w:color="auto" w:fill="FFFFFF"/>
              </w:rPr>
              <w:t>（</w:t>
            </w:r>
            <w:r w:rsidRPr="00A5780C">
              <w:rPr>
                <w:rFonts w:ascii="標楷體" w:eastAsia="標楷體" w:hAnsi="標楷體" w:hint="eastAsia"/>
                <w:shd w:val="clear" w:color="auto" w:fill="FFFFFF"/>
              </w:rPr>
              <w:t>包含</w:t>
            </w:r>
            <w:r w:rsidR="00D34AED">
              <w:rPr>
                <w:rFonts w:ascii="標楷體" w:eastAsia="標楷體" w:hAnsi="標楷體" w:hint="eastAsia"/>
                <w:shd w:val="clear" w:color="auto" w:fill="FFFFFF"/>
              </w:rPr>
              <w:t>血清膽紅素</w:t>
            </w:r>
            <w:r w:rsidR="00951631" w:rsidRPr="00A5780C">
              <w:rPr>
                <w:rFonts w:ascii="Times New Roman" w:eastAsia="標楷體" w:hAnsi="Times New Roman" w:cs="Times New Roman"/>
                <w:szCs w:val="24"/>
                <w:shd w:val="clear" w:color="auto" w:fill="FFFFFF"/>
              </w:rPr>
              <w:t>）</w:t>
            </w:r>
            <w:r w:rsidRPr="00A5780C">
              <w:rPr>
                <w:rFonts w:ascii="標楷體" w:eastAsia="標楷體" w:hAnsi="標楷體" w:hint="eastAsia"/>
                <w:shd w:val="clear" w:color="auto" w:fill="FFFFFF"/>
              </w:rPr>
              <w:t>，</w:t>
            </w:r>
            <w:r w:rsidR="00951631" w:rsidRPr="00A5780C">
              <w:rPr>
                <w:rFonts w:ascii="標楷體" w:eastAsia="標楷體" w:hAnsi="標楷體" w:hint="eastAsia"/>
                <w:shd w:val="clear" w:color="auto" w:fill="FFFFFF"/>
              </w:rPr>
              <w:t>且之後應定期</w:t>
            </w:r>
            <w:r w:rsidR="00951631" w:rsidRPr="00A5780C">
              <w:rPr>
                <w:rFonts w:ascii="Times New Roman" w:eastAsia="標楷體" w:hAnsi="Times New Roman" w:cs="Times New Roman" w:hint="eastAsia"/>
                <w:szCs w:val="24"/>
                <w:shd w:val="clear" w:color="auto" w:fill="FFFFFF"/>
              </w:rPr>
              <w:t>監測</w:t>
            </w:r>
            <w:r w:rsidR="00951631" w:rsidRPr="00A5780C">
              <w:rPr>
                <w:rFonts w:ascii="標楷體" w:eastAsia="標楷體" w:hAnsi="標楷體" w:hint="eastAsia"/>
                <w:shd w:val="clear" w:color="auto" w:fill="FFFFFF"/>
              </w:rPr>
              <w:t>肝功能</w:t>
            </w:r>
            <w:r w:rsidRPr="00A5780C">
              <w:rPr>
                <w:rFonts w:ascii="標楷體" w:eastAsia="標楷體" w:hAnsi="標楷體" w:hint="eastAsia"/>
                <w:shd w:val="clear" w:color="auto" w:fill="FFFFFF"/>
              </w:rPr>
              <w:t>至停藥後</w:t>
            </w:r>
            <w:r w:rsidR="00951631" w:rsidRPr="00A5780C">
              <w:rPr>
                <w:rFonts w:ascii="Times New Roman" w:eastAsia="標楷體" w:hAnsi="Times New Roman" w:cs="Times New Roman" w:hint="eastAsia"/>
                <w:szCs w:val="24"/>
              </w:rPr>
              <w:t>的</w:t>
            </w:r>
            <w:r w:rsidRPr="00A5780C">
              <w:rPr>
                <w:rFonts w:ascii="Times New Roman" w:hAnsi="Times New Roman" w:cs="Times New Roman"/>
                <w:shd w:val="clear" w:color="auto" w:fill="FFFFFF"/>
              </w:rPr>
              <w:t>2</w:t>
            </w:r>
            <w:r w:rsidRPr="00A5780C">
              <w:rPr>
                <w:rFonts w:ascii="標楷體" w:eastAsia="標楷體" w:hAnsi="標楷體" w:hint="eastAsia"/>
                <w:shd w:val="clear" w:color="auto" w:fill="FFFFFF"/>
              </w:rPr>
              <w:t>個月。</w:t>
            </w:r>
          </w:p>
          <w:p w:rsidR="00FB3254" w:rsidRPr="00A5780C" w:rsidRDefault="00D34AED" w:rsidP="00951631">
            <w:pPr>
              <w:pStyle w:val="aa"/>
              <w:widowControl/>
              <w:numPr>
                <w:ilvl w:val="0"/>
                <w:numId w:val="9"/>
              </w:numPr>
              <w:shd w:val="clear" w:color="auto" w:fill="FFFFFF"/>
              <w:ind w:leftChars="0" w:left="873" w:hanging="393"/>
              <w:jc w:val="both"/>
              <w:rPr>
                <w:rFonts w:ascii="Times New Roman" w:eastAsia="標楷體" w:hAnsi="Times New Roman" w:cs="Times New Roman"/>
                <w:kern w:val="0"/>
                <w:szCs w:val="24"/>
              </w:rPr>
            </w:pPr>
            <w:r>
              <w:rPr>
                <w:rFonts w:ascii="標楷體" w:eastAsia="標楷體" w:hAnsi="標楷體" w:hint="eastAsia"/>
                <w:shd w:val="clear" w:color="auto" w:fill="FFFFFF"/>
              </w:rPr>
              <w:t>若無</w:t>
            </w:r>
            <w:r w:rsidR="00FB3254" w:rsidRPr="00A5780C">
              <w:rPr>
                <w:rFonts w:ascii="標楷體" w:eastAsia="標楷體" w:hAnsi="標楷體" w:hint="eastAsia"/>
                <w:shd w:val="clear" w:color="auto" w:fill="FFFFFF"/>
              </w:rPr>
              <w:t>臨床症狀，但肝臟轉胺酶</w:t>
            </w:r>
            <w:r>
              <w:rPr>
                <w:rFonts w:ascii="標楷體" w:eastAsia="標楷體" w:hAnsi="標楷體" w:hint="eastAsia"/>
                <w:shd w:val="clear" w:color="auto" w:fill="FFFFFF"/>
              </w:rPr>
              <w:t>檢驗值</w:t>
            </w:r>
            <w:r w:rsidR="00FB3254" w:rsidRPr="00A5780C">
              <w:rPr>
                <w:rFonts w:ascii="標楷體" w:eastAsia="標楷體" w:hAnsi="標楷體" w:hint="eastAsia"/>
                <w:shd w:val="clear" w:color="auto" w:fill="FFFFFF"/>
              </w:rPr>
              <w:t>：</w:t>
            </w:r>
          </w:p>
          <w:p w:rsidR="00AA20EB" w:rsidRPr="00A5780C" w:rsidRDefault="00FB3254" w:rsidP="00AA20EB">
            <w:pPr>
              <w:pStyle w:val="aa"/>
              <w:widowControl/>
              <w:numPr>
                <w:ilvl w:val="0"/>
                <w:numId w:val="11"/>
              </w:numPr>
              <w:shd w:val="clear" w:color="auto" w:fill="FFFFFF"/>
              <w:ind w:leftChars="0" w:left="1298" w:hanging="425"/>
              <w:jc w:val="both"/>
              <w:rPr>
                <w:rFonts w:ascii="Times New Roman" w:hAnsi="Times New Roman" w:cs="Times New Roman"/>
                <w:shd w:val="clear" w:color="auto" w:fill="FFFFFF"/>
              </w:rPr>
            </w:pPr>
            <w:r w:rsidRPr="00A5780C">
              <w:rPr>
                <w:rFonts w:ascii="標楷體" w:eastAsia="標楷體" w:hAnsi="標楷體" w:hint="eastAsia"/>
                <w:shd w:val="clear" w:color="auto" w:fill="FFFFFF"/>
              </w:rPr>
              <w:t>大於</w:t>
            </w:r>
            <w:r w:rsidRPr="00A5780C">
              <w:rPr>
                <w:rFonts w:ascii="Times New Roman" w:hAnsi="Times New Roman" w:cs="Times New Roman"/>
                <w:shd w:val="clear" w:color="auto" w:fill="FFFFFF"/>
              </w:rPr>
              <w:t>3</w:t>
            </w:r>
            <w:r w:rsidRPr="00A5780C">
              <w:rPr>
                <w:rFonts w:ascii="標楷體" w:eastAsia="標楷體" w:hAnsi="標楷體" w:hint="eastAsia"/>
                <w:shd w:val="clear" w:color="auto" w:fill="FFFFFF"/>
              </w:rPr>
              <w:t>倍但小於</w:t>
            </w:r>
            <w:r w:rsidRPr="00A5780C">
              <w:rPr>
                <w:rFonts w:ascii="Times New Roman" w:hAnsi="Times New Roman" w:cs="Times New Roman"/>
                <w:shd w:val="clear" w:color="auto" w:fill="FFFFFF"/>
              </w:rPr>
              <w:t>5</w:t>
            </w:r>
            <w:r w:rsidRPr="00A5780C">
              <w:rPr>
                <w:rFonts w:ascii="標楷體" w:eastAsia="標楷體" w:hAnsi="標楷體" w:hint="eastAsia"/>
                <w:shd w:val="clear" w:color="auto" w:fill="FFFFFF"/>
              </w:rPr>
              <w:t>倍正常值上限且未伴隨膽紅素上升時，</w:t>
            </w:r>
            <w:r w:rsidR="00951631" w:rsidRPr="00A5780C">
              <w:rPr>
                <w:rFonts w:ascii="標楷體" w:eastAsia="標楷體" w:hAnsi="標楷體" w:hint="eastAsia"/>
                <w:shd w:val="clear" w:color="auto" w:fill="FFFFFF"/>
              </w:rPr>
              <w:t>應</w:t>
            </w:r>
            <w:r w:rsidR="00951631" w:rsidRPr="00A5780C">
              <w:rPr>
                <w:rFonts w:ascii="標楷體" w:eastAsia="標楷體" w:hAnsi="標楷體" w:hint="eastAsia"/>
                <w:shd w:val="clear" w:color="auto" w:fill="FFFFFF"/>
              </w:rPr>
              <w:lastRenderedPageBreak/>
              <w:t>更頻繁</w:t>
            </w:r>
            <w:r w:rsidRPr="00A5780C">
              <w:rPr>
                <w:rFonts w:ascii="標楷體" w:eastAsia="標楷體" w:hAnsi="標楷體" w:hint="eastAsia"/>
                <w:shd w:val="clear" w:color="auto" w:fill="FFFFFF"/>
              </w:rPr>
              <w:t>監測</w:t>
            </w:r>
            <w:r w:rsidR="00951631" w:rsidRPr="00A5780C">
              <w:rPr>
                <w:rFonts w:ascii="標楷體" w:eastAsia="標楷體" w:hAnsi="標楷體" w:hint="eastAsia"/>
                <w:shd w:val="clear" w:color="auto" w:fill="FFFFFF"/>
              </w:rPr>
              <w:t>肝功能</w:t>
            </w:r>
            <w:proofErr w:type="gramStart"/>
            <w:r w:rsidR="00A67B29" w:rsidRPr="00A5780C">
              <w:rPr>
                <w:rFonts w:ascii="Times New Roman" w:eastAsia="標楷體" w:hAnsi="Times New Roman" w:cs="Times New Roman"/>
                <w:szCs w:val="24"/>
                <w:shd w:val="clear" w:color="auto" w:fill="FFFFFF"/>
              </w:rPr>
              <w:t>（</w:t>
            </w:r>
            <w:proofErr w:type="gramEnd"/>
            <w:r w:rsidRPr="00A5780C">
              <w:rPr>
                <w:rFonts w:ascii="標楷體" w:eastAsia="標楷體" w:hAnsi="標楷體" w:hint="eastAsia"/>
                <w:shd w:val="clear" w:color="auto" w:fill="FFFFFF"/>
              </w:rPr>
              <w:t>包含</w:t>
            </w:r>
            <w:r w:rsidR="00451277" w:rsidRPr="00A5780C">
              <w:rPr>
                <w:rFonts w:ascii="標楷體" w:eastAsia="標楷體" w:hAnsi="標楷體" w:hint="eastAsia"/>
                <w:shd w:val="clear" w:color="auto" w:fill="FFFFFF"/>
              </w:rPr>
              <w:t>血清</w:t>
            </w:r>
            <w:r w:rsidRPr="00A5780C">
              <w:rPr>
                <w:rFonts w:ascii="標楷體" w:eastAsia="標楷體" w:hAnsi="標楷體" w:hint="eastAsia"/>
                <w:shd w:val="clear" w:color="auto" w:fill="FFFFFF"/>
              </w:rPr>
              <w:t>膽紅素及鹼性磷酯酶</w:t>
            </w:r>
            <w:r w:rsidR="00951631" w:rsidRPr="00A5780C">
              <w:rPr>
                <w:rFonts w:ascii="Times New Roman" w:eastAsia="標楷體" w:hAnsi="Times New Roman" w:cs="Times New Roman"/>
                <w:szCs w:val="24"/>
                <w:shd w:val="clear" w:color="auto" w:fill="FFFFFF"/>
              </w:rPr>
              <w:t>）</w:t>
            </w:r>
            <w:r w:rsidR="00951631" w:rsidRPr="00A5780C">
              <w:rPr>
                <w:rFonts w:ascii="Times New Roman" w:eastAsia="標楷體" w:hAnsi="Times New Roman" w:cs="Times New Roman" w:hint="eastAsia"/>
                <w:szCs w:val="24"/>
                <w:shd w:val="clear" w:color="auto" w:fill="FFFFFF"/>
              </w:rPr>
              <w:t>。</w:t>
            </w:r>
          </w:p>
          <w:p w:rsidR="00FB3254" w:rsidRPr="00A5780C" w:rsidRDefault="00FB3254" w:rsidP="00AA20EB">
            <w:pPr>
              <w:pStyle w:val="aa"/>
              <w:widowControl/>
              <w:numPr>
                <w:ilvl w:val="0"/>
                <w:numId w:val="11"/>
              </w:numPr>
              <w:shd w:val="clear" w:color="auto" w:fill="FFFFFF"/>
              <w:ind w:leftChars="0" w:left="1298" w:hanging="425"/>
              <w:jc w:val="both"/>
              <w:rPr>
                <w:rFonts w:ascii="Times New Roman" w:hAnsi="Times New Roman" w:cs="Times New Roman"/>
                <w:shd w:val="clear" w:color="auto" w:fill="FFFFFF"/>
              </w:rPr>
            </w:pPr>
            <w:r w:rsidRPr="00A5780C">
              <w:rPr>
                <w:rFonts w:ascii="標楷體" w:eastAsia="標楷體" w:hAnsi="標楷體" w:hint="eastAsia"/>
                <w:shd w:val="clear" w:color="auto" w:fill="FFFFFF"/>
              </w:rPr>
              <w:t>至少</w:t>
            </w:r>
            <w:r w:rsidR="00ED4CA3" w:rsidRPr="00A5780C">
              <w:rPr>
                <w:rFonts w:ascii="Times New Roman" w:hAnsi="Times New Roman" w:cs="Times New Roman"/>
                <w:shd w:val="clear" w:color="auto" w:fill="FFFFFF"/>
              </w:rPr>
              <w:t>5</w:t>
            </w:r>
            <w:r w:rsidR="00ED4CA3" w:rsidRPr="00A5780C">
              <w:rPr>
                <w:rFonts w:ascii="標楷體" w:eastAsia="標楷體" w:hAnsi="標楷體" w:hint="eastAsia"/>
                <w:shd w:val="clear" w:color="auto" w:fill="FFFFFF"/>
              </w:rPr>
              <w:t>倍正常值上限</w:t>
            </w:r>
            <w:r w:rsidR="00ED4CA3">
              <w:rPr>
                <w:rFonts w:ascii="標楷體" w:eastAsia="標楷體" w:hAnsi="標楷體" w:hint="eastAsia"/>
                <w:shd w:val="clear" w:color="auto" w:fill="FFFFFF"/>
              </w:rPr>
              <w:t>或</w:t>
            </w:r>
            <w:r w:rsidR="00A67B29" w:rsidRPr="00A5780C">
              <w:rPr>
                <w:rFonts w:ascii="標楷體" w:eastAsia="標楷體" w:hAnsi="標楷體" w:hint="eastAsia"/>
                <w:shd w:val="clear" w:color="auto" w:fill="FFFFFF"/>
              </w:rPr>
              <w:t>至少</w:t>
            </w:r>
            <w:r w:rsidR="00ED4CA3">
              <w:rPr>
                <w:rFonts w:ascii="Times New Roman" w:hAnsi="Times New Roman" w:cs="Times New Roman"/>
                <w:shd w:val="clear" w:color="auto" w:fill="FFFFFF"/>
              </w:rPr>
              <w:t>3</w:t>
            </w:r>
            <w:r w:rsidR="00ED4CA3" w:rsidRPr="00A5780C">
              <w:rPr>
                <w:rFonts w:ascii="標楷體" w:eastAsia="標楷體" w:hAnsi="標楷體" w:hint="eastAsia"/>
                <w:shd w:val="clear" w:color="auto" w:fill="FFFFFF"/>
              </w:rPr>
              <w:t>倍正常值上限</w:t>
            </w:r>
            <w:r w:rsidRPr="00A5780C">
              <w:rPr>
                <w:rFonts w:ascii="標楷體" w:eastAsia="標楷體" w:hAnsi="標楷體" w:hint="eastAsia"/>
                <w:shd w:val="clear" w:color="auto" w:fill="FFFFFF"/>
              </w:rPr>
              <w:t>且伴隨膽紅素上升時，</w:t>
            </w:r>
            <w:r w:rsidR="00A67B29" w:rsidRPr="00A5780C">
              <w:rPr>
                <w:rFonts w:ascii="標楷體" w:eastAsia="標楷體" w:hAnsi="標楷體" w:hint="eastAsia"/>
                <w:shd w:val="clear" w:color="auto" w:fill="FFFFFF"/>
              </w:rPr>
              <w:t>應停</w:t>
            </w:r>
            <w:r w:rsidR="0003662F">
              <w:rPr>
                <w:rFonts w:ascii="標楷體" w:eastAsia="標楷體" w:hAnsi="標楷體" w:hint="eastAsia"/>
                <w:shd w:val="clear" w:color="auto" w:fill="FFFFFF"/>
              </w:rPr>
              <w:t>藥</w:t>
            </w:r>
            <w:r w:rsidRPr="00A5780C">
              <w:rPr>
                <w:rFonts w:ascii="標楷體" w:eastAsia="標楷體" w:hAnsi="標楷體" w:hint="eastAsia"/>
                <w:shd w:val="clear" w:color="auto" w:fill="FFFFFF"/>
              </w:rPr>
              <w:t>。若</w:t>
            </w:r>
            <w:r w:rsidR="00A67B29" w:rsidRPr="00A5780C">
              <w:rPr>
                <w:rFonts w:ascii="標楷體" w:eastAsia="標楷體" w:hAnsi="標楷體" w:hint="eastAsia"/>
                <w:shd w:val="clear" w:color="auto" w:fill="FFFFFF"/>
              </w:rPr>
              <w:t>病人的</w:t>
            </w:r>
            <w:r w:rsidRPr="00A5780C">
              <w:rPr>
                <w:rFonts w:ascii="標楷體" w:eastAsia="標楷體" w:hAnsi="標楷體" w:hint="eastAsia"/>
                <w:shd w:val="clear" w:color="auto" w:fill="FFFFFF"/>
              </w:rPr>
              <w:t>肝功能檢驗值回復正常，於審慎</w:t>
            </w:r>
            <w:r w:rsidR="00A67B29" w:rsidRPr="00A5780C">
              <w:rPr>
                <w:rFonts w:ascii="標楷體" w:eastAsia="標楷體" w:hAnsi="標楷體" w:hint="eastAsia"/>
                <w:shd w:val="clear" w:color="auto" w:fill="FFFFFF"/>
              </w:rPr>
              <w:t>評估風險效益</w:t>
            </w:r>
            <w:r w:rsidRPr="00A5780C">
              <w:rPr>
                <w:rFonts w:ascii="標楷體" w:eastAsia="標楷體" w:hAnsi="標楷體" w:hint="eastAsia"/>
                <w:shd w:val="clear" w:color="auto" w:fill="FFFFFF"/>
              </w:rPr>
              <w:t>後可</w:t>
            </w:r>
            <w:r w:rsidR="00A67B29" w:rsidRPr="00A5780C">
              <w:rPr>
                <w:rFonts w:ascii="標楷體" w:eastAsia="標楷體" w:hAnsi="標楷體" w:hint="eastAsia"/>
                <w:shd w:val="clear" w:color="auto" w:fill="FFFFFF"/>
              </w:rPr>
              <w:t>考慮</w:t>
            </w:r>
            <w:r w:rsidR="0003662F">
              <w:rPr>
                <w:rFonts w:ascii="標楷體" w:eastAsia="標楷體" w:hAnsi="標楷體" w:hint="eastAsia"/>
                <w:shd w:val="clear" w:color="auto" w:fill="FFFFFF"/>
              </w:rPr>
              <w:t>重新使用含</w:t>
            </w:r>
            <w:r w:rsidR="00A67B29" w:rsidRPr="00A5780C">
              <w:rPr>
                <w:rFonts w:ascii="Times New Roman" w:hAnsi="Times New Roman" w:cs="Times New Roman"/>
                <w:shd w:val="clear" w:color="auto" w:fill="FFFFFF"/>
              </w:rPr>
              <w:t>fingolimod</w:t>
            </w:r>
            <w:r w:rsidR="0003662F" w:rsidRPr="0003662F">
              <w:rPr>
                <w:rFonts w:ascii="標楷體" w:eastAsia="標楷體" w:hAnsi="標楷體" w:hint="eastAsia"/>
                <w:shd w:val="clear" w:color="auto" w:fill="FFFFFF"/>
              </w:rPr>
              <w:t>成分藥品進行</w:t>
            </w:r>
            <w:r w:rsidRPr="00A5780C">
              <w:rPr>
                <w:rFonts w:ascii="標楷體" w:eastAsia="標楷體" w:hAnsi="標楷體" w:hint="eastAsia"/>
                <w:shd w:val="clear" w:color="auto" w:fill="FFFFFF"/>
              </w:rPr>
              <w:t>治療。</w:t>
            </w:r>
          </w:p>
          <w:p w:rsidR="00FB3254" w:rsidRPr="00A5780C" w:rsidRDefault="00FB3254" w:rsidP="00951631">
            <w:pPr>
              <w:pStyle w:val="aa"/>
              <w:widowControl/>
              <w:numPr>
                <w:ilvl w:val="0"/>
                <w:numId w:val="9"/>
              </w:numPr>
              <w:shd w:val="clear" w:color="auto" w:fill="FFFFFF"/>
              <w:ind w:leftChars="0" w:left="873"/>
              <w:jc w:val="both"/>
              <w:rPr>
                <w:rFonts w:ascii="標楷體" w:eastAsia="標楷體" w:hAnsi="標楷體"/>
                <w:shd w:val="clear" w:color="auto" w:fill="FFFFFF"/>
              </w:rPr>
            </w:pPr>
            <w:r w:rsidRPr="00A5780C">
              <w:rPr>
                <w:rFonts w:ascii="標楷體" w:eastAsia="標楷體" w:hAnsi="標楷體" w:hint="eastAsia"/>
                <w:shd w:val="clear" w:color="auto" w:fill="FFFFFF"/>
              </w:rPr>
              <w:t>若出現</w:t>
            </w:r>
            <w:r w:rsidR="00A67B29" w:rsidRPr="00A5780C">
              <w:rPr>
                <w:rFonts w:ascii="標楷體" w:eastAsia="標楷體" w:hAnsi="標楷體" w:hint="eastAsia"/>
                <w:shd w:val="clear" w:color="auto" w:fill="FFFFFF"/>
              </w:rPr>
              <w:t>疑似</w:t>
            </w:r>
            <w:r w:rsidRPr="00A5780C">
              <w:rPr>
                <w:rFonts w:ascii="標楷體" w:eastAsia="標楷體" w:hAnsi="標楷體" w:hint="eastAsia"/>
                <w:shd w:val="clear" w:color="auto" w:fill="FFFFFF"/>
              </w:rPr>
              <w:t>肝功能障礙的臨床症狀：</w:t>
            </w:r>
          </w:p>
          <w:p w:rsidR="00707B8C" w:rsidRPr="0025369A" w:rsidRDefault="00951631" w:rsidP="0025369A">
            <w:pPr>
              <w:pStyle w:val="aa"/>
              <w:widowControl/>
              <w:numPr>
                <w:ilvl w:val="0"/>
                <w:numId w:val="11"/>
              </w:numPr>
              <w:shd w:val="clear" w:color="auto" w:fill="FFFFFF"/>
              <w:ind w:leftChars="0" w:left="1298" w:hanging="425"/>
              <w:jc w:val="both"/>
              <w:rPr>
                <w:rFonts w:ascii="標楷體" w:eastAsia="標楷體" w:hAnsi="標楷體"/>
                <w:shd w:val="clear" w:color="auto" w:fill="FFFFFF"/>
              </w:rPr>
            </w:pPr>
            <w:r w:rsidRPr="00A5780C">
              <w:rPr>
                <w:rFonts w:ascii="標楷體" w:eastAsia="標楷體" w:hAnsi="標楷體" w:hint="eastAsia"/>
                <w:shd w:val="clear" w:color="auto" w:fill="FFFFFF"/>
              </w:rPr>
              <w:t>應</w:t>
            </w:r>
            <w:r w:rsidRPr="00A5780C">
              <w:rPr>
                <w:rFonts w:ascii="Times New Roman" w:eastAsia="標楷體" w:hAnsi="Times New Roman" w:cs="Times New Roman"/>
                <w:shd w:val="clear" w:color="auto" w:fill="FFFFFF"/>
              </w:rPr>
              <w:t>即時確認肝臟酵素和膽紅素</w:t>
            </w:r>
            <w:r w:rsidR="00D34AED">
              <w:rPr>
                <w:rFonts w:ascii="Times New Roman" w:eastAsia="標楷體" w:hAnsi="Times New Roman" w:cs="Times New Roman"/>
                <w:shd w:val="clear" w:color="auto" w:fill="FFFFFF"/>
              </w:rPr>
              <w:t>值</w:t>
            </w:r>
            <w:r w:rsidRPr="00A5780C">
              <w:rPr>
                <w:rFonts w:ascii="Times New Roman" w:eastAsia="標楷體" w:hAnsi="Times New Roman" w:cs="Times New Roman"/>
                <w:shd w:val="clear" w:color="auto" w:fill="FFFFFF"/>
              </w:rPr>
              <w:t>，若</w:t>
            </w:r>
            <w:r w:rsidR="00D34AED">
              <w:rPr>
                <w:rFonts w:ascii="Times New Roman" w:eastAsia="標楷體" w:hAnsi="Times New Roman" w:cs="Times New Roman"/>
                <w:shd w:val="clear" w:color="auto" w:fill="FFFFFF"/>
              </w:rPr>
              <w:t>確認有</w:t>
            </w:r>
            <w:proofErr w:type="gramStart"/>
            <w:r w:rsidR="00A67B29" w:rsidRPr="00A5780C">
              <w:rPr>
                <w:rFonts w:ascii="Times New Roman" w:eastAsia="標楷體" w:hAnsi="Times New Roman" w:cs="Times New Roman"/>
                <w:shd w:val="clear" w:color="auto" w:fill="FFFFFF"/>
              </w:rPr>
              <w:t>顯著</w:t>
            </w:r>
            <w:r w:rsidRPr="00A5780C">
              <w:rPr>
                <w:rFonts w:ascii="Times New Roman" w:eastAsia="標楷體" w:hAnsi="Times New Roman" w:cs="Times New Roman"/>
                <w:shd w:val="clear" w:color="auto" w:fill="FFFFFF"/>
              </w:rPr>
              <w:t>肝</w:t>
            </w:r>
            <w:proofErr w:type="gramEnd"/>
            <w:r w:rsidRPr="00A5780C">
              <w:rPr>
                <w:rFonts w:ascii="Times New Roman" w:eastAsia="標楷體" w:hAnsi="Times New Roman" w:cs="Times New Roman"/>
                <w:shd w:val="clear" w:color="auto" w:fill="FFFFFF"/>
              </w:rPr>
              <w:t>損傷</w:t>
            </w:r>
            <w:r w:rsidR="00A67B29" w:rsidRPr="00A5780C">
              <w:rPr>
                <w:rFonts w:ascii="Times New Roman" w:eastAsia="標楷體" w:hAnsi="Times New Roman" w:cs="Times New Roman"/>
                <w:shd w:val="clear" w:color="auto" w:fill="FFFFFF"/>
              </w:rPr>
              <w:t>時應停</w:t>
            </w:r>
            <w:r w:rsidR="0003662F">
              <w:rPr>
                <w:rFonts w:ascii="Times New Roman" w:eastAsia="標楷體" w:hAnsi="Times New Roman" w:cs="Times New Roman" w:hint="eastAsia"/>
                <w:shd w:val="clear" w:color="auto" w:fill="FFFFFF"/>
              </w:rPr>
              <w:t>藥</w:t>
            </w:r>
            <w:r w:rsidR="00A67B29" w:rsidRPr="00A5780C">
              <w:rPr>
                <w:rFonts w:ascii="Times New Roman" w:eastAsia="標楷體" w:hAnsi="Times New Roman" w:cs="Times New Roman"/>
                <w:shd w:val="clear" w:color="auto" w:fill="FFFFFF"/>
              </w:rPr>
              <w:t>。除非病人的肝損傷症狀和徵候</w:t>
            </w:r>
            <w:r w:rsidR="00ED4CA3">
              <w:rPr>
                <w:rFonts w:ascii="Times New Roman" w:eastAsia="標楷體" w:hAnsi="Times New Roman" w:cs="Times New Roman"/>
                <w:shd w:val="clear" w:color="auto" w:fill="FFFFFF"/>
              </w:rPr>
              <w:t>證實有</w:t>
            </w:r>
            <w:r w:rsidR="00ED4CA3" w:rsidRPr="00A5780C">
              <w:rPr>
                <w:rFonts w:ascii="Times New Roman" w:eastAsia="標楷體" w:hAnsi="Times New Roman" w:cs="Times New Roman"/>
                <w:shd w:val="clear" w:color="auto" w:fill="FFFFFF"/>
              </w:rPr>
              <w:t>合理的替代病因</w:t>
            </w:r>
            <w:r w:rsidR="00A67B29" w:rsidRPr="00A5780C">
              <w:rPr>
                <w:rFonts w:ascii="Times New Roman" w:eastAsia="標楷體" w:hAnsi="Times New Roman" w:cs="Times New Roman"/>
                <w:shd w:val="clear" w:color="auto" w:fill="FFFFFF"/>
              </w:rPr>
              <w:t>，否則不應</w:t>
            </w:r>
            <w:r w:rsidR="0003662F">
              <w:rPr>
                <w:rFonts w:ascii="Times New Roman" w:eastAsia="標楷體" w:hAnsi="Times New Roman" w:cs="Times New Roman" w:hint="eastAsia"/>
                <w:shd w:val="clear" w:color="auto" w:fill="FFFFFF"/>
              </w:rPr>
              <w:t>再次使用該成分藥品</w:t>
            </w:r>
            <w:r w:rsidR="00A67B29" w:rsidRPr="00A5780C">
              <w:rPr>
                <w:rFonts w:ascii="Times New Roman" w:eastAsia="標楷體" w:hAnsi="Times New Roman" w:cs="Times New Roman"/>
                <w:shd w:val="clear" w:color="auto" w:fill="FFFFFF"/>
              </w:rPr>
              <w:t>治療。</w:t>
            </w:r>
          </w:p>
        </w:tc>
      </w:tr>
      <w:tr w:rsidR="0025369A" w:rsidRPr="00147E19" w:rsidTr="00543FB1">
        <w:trPr>
          <w:trHeight w:val="896"/>
          <w:jc w:val="center"/>
        </w:trPr>
        <w:tc>
          <w:tcPr>
            <w:tcW w:w="1988" w:type="dxa"/>
            <w:vAlign w:val="center"/>
          </w:tcPr>
          <w:p w:rsidR="0025369A" w:rsidRPr="00147E19" w:rsidRDefault="0025369A" w:rsidP="00707B8C">
            <w:pPr>
              <w:jc w:val="center"/>
              <w:rPr>
                <w:rFonts w:ascii="Times New Roman" w:eastAsia="標楷體" w:hAnsi="Times New Roman" w:cs="Times New Roman"/>
                <w:szCs w:val="24"/>
              </w:rPr>
            </w:pPr>
            <w:r w:rsidRPr="00BA05D1">
              <w:rPr>
                <w:rFonts w:ascii="Times New Roman" w:eastAsia="標楷體" w:hAnsi="Times New Roman"/>
                <w:szCs w:val="24"/>
              </w:rPr>
              <w:lastRenderedPageBreak/>
              <w:t>食品藥物管理署風險溝通說明</w:t>
            </w:r>
          </w:p>
        </w:tc>
        <w:tc>
          <w:tcPr>
            <w:tcW w:w="7741" w:type="dxa"/>
          </w:tcPr>
          <w:p w:rsidR="0025369A" w:rsidRPr="00BA05D1" w:rsidRDefault="0025369A" w:rsidP="0025369A">
            <w:pPr>
              <w:widowControl/>
              <w:spacing w:line="400" w:lineRule="exact"/>
              <w:rPr>
                <w:rFonts w:ascii="Times New Roman" w:eastAsia="標楷體" w:hAnsi="Times New Roman"/>
                <w:b/>
                <w:bCs/>
                <w:color w:val="000000"/>
                <w:kern w:val="0"/>
                <w:szCs w:val="24"/>
                <w:u w:val="single"/>
              </w:rPr>
            </w:pPr>
            <w:r w:rsidRPr="00BA05D1">
              <w:rPr>
                <w:rFonts w:ascii="新細明體" w:hAnsi="新細明體" w:cs="新細明體" w:hint="eastAsia"/>
                <w:bCs/>
                <w:color w:val="000000"/>
                <w:kern w:val="0"/>
                <w:szCs w:val="24"/>
              </w:rPr>
              <w:t>◎</w:t>
            </w:r>
            <w:r w:rsidRPr="00BA05D1">
              <w:rPr>
                <w:rFonts w:ascii="Times New Roman" w:eastAsia="標楷體" w:hAnsi="Times New Roman"/>
                <w:bCs/>
                <w:color w:val="000000"/>
                <w:kern w:val="0"/>
                <w:szCs w:val="24"/>
              </w:rPr>
              <w:t xml:space="preserve"> </w:t>
            </w:r>
            <w:r>
              <w:rPr>
                <w:rFonts w:ascii="Times New Roman" w:eastAsia="標楷體" w:hAnsi="Times New Roman" w:hint="eastAsia"/>
                <w:bCs/>
                <w:color w:val="000000"/>
                <w:kern w:val="0"/>
                <w:szCs w:val="24"/>
              </w:rPr>
              <w:t xml:space="preserve"> </w:t>
            </w:r>
            <w:r w:rsidRPr="00BA05D1">
              <w:rPr>
                <w:rFonts w:ascii="Times New Roman" w:eastAsia="標楷體" w:hAnsi="Times New Roman"/>
                <w:b/>
                <w:bCs/>
                <w:color w:val="000000"/>
                <w:kern w:val="0"/>
                <w:szCs w:val="24"/>
                <w:u w:val="single"/>
              </w:rPr>
              <w:t>食品藥物管理署說明：</w:t>
            </w:r>
          </w:p>
          <w:p w:rsidR="0025369A" w:rsidRPr="00B65070" w:rsidRDefault="0025369A" w:rsidP="00B65070">
            <w:pPr>
              <w:pStyle w:val="aa"/>
              <w:widowControl/>
              <w:numPr>
                <w:ilvl w:val="0"/>
                <w:numId w:val="15"/>
              </w:numPr>
              <w:ind w:leftChars="0"/>
              <w:jc w:val="both"/>
              <w:rPr>
                <w:rFonts w:ascii="Times New Roman" w:eastAsia="標楷體" w:hAnsi="Times New Roman" w:cs="Times New Roman"/>
                <w:bCs/>
                <w:kern w:val="0"/>
                <w:szCs w:val="24"/>
              </w:rPr>
            </w:pPr>
            <w:r w:rsidRPr="00B65070">
              <w:rPr>
                <w:rFonts w:ascii="Times New Roman" w:eastAsia="標楷體" w:hAnsi="Times New Roman" w:cs="Times New Roman" w:hint="eastAsia"/>
                <w:bCs/>
                <w:kern w:val="0"/>
                <w:szCs w:val="24"/>
              </w:rPr>
              <w:t>經查，我國核准含</w:t>
            </w:r>
            <w:r w:rsidRPr="00B65070">
              <w:rPr>
                <w:rFonts w:ascii="Times New Roman" w:eastAsia="標楷體" w:hAnsi="Times New Roman" w:cs="Times New Roman" w:hint="eastAsia"/>
                <w:bCs/>
                <w:kern w:val="0"/>
                <w:szCs w:val="24"/>
              </w:rPr>
              <w:t>fingolimod</w:t>
            </w:r>
            <w:r w:rsidRPr="00B65070">
              <w:rPr>
                <w:rFonts w:ascii="Times New Roman" w:eastAsia="標楷體" w:hAnsi="Times New Roman" w:cs="Times New Roman" w:hint="eastAsia"/>
                <w:bCs/>
                <w:kern w:val="0"/>
                <w:szCs w:val="24"/>
              </w:rPr>
              <w:t>成分藥品許可證共</w:t>
            </w:r>
            <w:r w:rsidRPr="00B65070">
              <w:rPr>
                <w:rFonts w:ascii="Times New Roman" w:eastAsia="標楷體" w:hAnsi="Times New Roman" w:cs="Times New Roman" w:hint="eastAsia"/>
                <w:bCs/>
                <w:kern w:val="0"/>
                <w:szCs w:val="24"/>
              </w:rPr>
              <w:t>2</w:t>
            </w:r>
            <w:r w:rsidRPr="00B65070">
              <w:rPr>
                <w:rFonts w:ascii="Times New Roman" w:eastAsia="標楷體" w:hAnsi="Times New Roman" w:cs="Times New Roman" w:hint="eastAsia"/>
                <w:bCs/>
                <w:kern w:val="0"/>
                <w:szCs w:val="24"/>
              </w:rPr>
              <w:t>張，許可證持有商皆為台灣諾華股份有限公司，其中文仿單刊載如下</w:t>
            </w:r>
            <w:r w:rsidRPr="00B65070">
              <w:rPr>
                <w:rFonts w:ascii="Times New Roman" w:eastAsia="標楷體" w:hAnsi="Times New Roman" w:cs="Times New Roman" w:hint="eastAsia"/>
                <w:bCs/>
                <w:kern w:val="0"/>
                <w:szCs w:val="24"/>
              </w:rPr>
              <w:t>:</w:t>
            </w:r>
          </w:p>
          <w:p w:rsidR="00B65070" w:rsidRDefault="0025369A" w:rsidP="00B65070">
            <w:pPr>
              <w:pStyle w:val="aa"/>
              <w:widowControl/>
              <w:numPr>
                <w:ilvl w:val="0"/>
                <w:numId w:val="13"/>
              </w:numPr>
              <w:ind w:leftChars="0" w:hanging="174"/>
              <w:jc w:val="both"/>
              <w:rPr>
                <w:rFonts w:ascii="Times New Roman" w:eastAsia="標楷體" w:hAnsi="Times New Roman" w:cs="Times New Roman"/>
                <w:bCs/>
                <w:kern w:val="0"/>
                <w:szCs w:val="24"/>
              </w:rPr>
            </w:pPr>
            <w:r w:rsidRPr="00B65070">
              <w:rPr>
                <w:rFonts w:ascii="Times New Roman" w:eastAsia="標楷體" w:hAnsi="Times New Roman" w:cs="Times New Roman" w:hint="eastAsia"/>
                <w:bCs/>
                <w:kern w:val="0"/>
                <w:szCs w:val="24"/>
              </w:rPr>
              <w:t>「</w:t>
            </w:r>
            <w:r w:rsidRPr="00B65070">
              <w:rPr>
                <w:rFonts w:ascii="Times New Roman" w:eastAsia="標楷體" w:hAnsi="Times New Roman" w:cs="Times New Roman" w:hint="eastAsia"/>
                <w:b/>
                <w:bCs/>
                <w:kern w:val="0"/>
                <w:szCs w:val="24"/>
                <w:u w:val="single"/>
              </w:rPr>
              <w:t>禁忌症</w:t>
            </w:r>
            <w:r w:rsidRPr="00B65070">
              <w:rPr>
                <w:rFonts w:ascii="Times New Roman" w:eastAsia="標楷體" w:hAnsi="Times New Roman" w:cs="Times New Roman" w:hint="eastAsia"/>
                <w:bCs/>
                <w:kern w:val="0"/>
                <w:szCs w:val="24"/>
              </w:rPr>
              <w:t>」</w:t>
            </w:r>
            <w:r w:rsidRPr="00B65070">
              <w:rPr>
                <w:rFonts w:ascii="Times New Roman" w:eastAsia="標楷體" w:hAnsi="Times New Roman" w:cs="Times New Roman" w:hint="eastAsia"/>
                <w:bCs/>
                <w:kern w:val="0"/>
                <w:szCs w:val="24"/>
              </w:rPr>
              <w:t>:</w:t>
            </w:r>
            <w:r w:rsidRPr="00B65070">
              <w:rPr>
                <w:rFonts w:ascii="Times New Roman" w:eastAsia="標楷體" w:hAnsi="Times New Roman" w:cs="Times New Roman" w:hint="eastAsia"/>
                <w:bCs/>
                <w:kern w:val="0"/>
                <w:szCs w:val="24"/>
              </w:rPr>
              <w:t>「</w:t>
            </w:r>
            <w:r w:rsidRPr="00037A49">
              <w:rPr>
                <w:rFonts w:ascii="Times New Roman" w:eastAsia="標楷體" w:hAnsi="Times New Roman" w:cs="Times New Roman" w:hint="eastAsia"/>
                <w:b/>
                <w:bCs/>
                <w:kern w:val="0"/>
                <w:szCs w:val="24"/>
              </w:rPr>
              <w:t>重度肝功能不全</w:t>
            </w:r>
            <w:r w:rsidRPr="00037A49">
              <w:rPr>
                <w:rFonts w:ascii="Times New Roman" w:eastAsia="標楷體" w:hAnsi="Times New Roman" w:cs="Times New Roman" w:hint="eastAsia"/>
                <w:b/>
                <w:bCs/>
                <w:kern w:val="0"/>
                <w:szCs w:val="24"/>
              </w:rPr>
              <w:t>(Child-Pugh Class C)</w:t>
            </w:r>
            <w:r w:rsidRPr="00B65070">
              <w:rPr>
                <w:rFonts w:ascii="Times New Roman" w:eastAsia="標楷體" w:hAnsi="Times New Roman" w:cs="Times New Roman" w:hint="eastAsia"/>
                <w:bCs/>
                <w:kern w:val="0"/>
                <w:szCs w:val="24"/>
              </w:rPr>
              <w:t>」。</w:t>
            </w:r>
          </w:p>
          <w:p w:rsidR="00B65070" w:rsidRDefault="0025369A" w:rsidP="00845CB9">
            <w:pPr>
              <w:pStyle w:val="aa"/>
              <w:widowControl/>
              <w:numPr>
                <w:ilvl w:val="0"/>
                <w:numId w:val="13"/>
              </w:numPr>
              <w:ind w:leftChars="0" w:hanging="169"/>
              <w:jc w:val="both"/>
              <w:rPr>
                <w:rFonts w:ascii="Times New Roman" w:eastAsia="標楷體" w:hAnsi="Times New Roman" w:cs="Times New Roman"/>
                <w:bCs/>
                <w:kern w:val="0"/>
                <w:szCs w:val="24"/>
              </w:rPr>
            </w:pPr>
            <w:r w:rsidRPr="00B65070">
              <w:rPr>
                <w:rFonts w:ascii="Times New Roman" w:eastAsia="標楷體" w:hAnsi="Times New Roman" w:cs="Times New Roman" w:hint="eastAsia"/>
                <w:bCs/>
                <w:kern w:val="0"/>
                <w:szCs w:val="24"/>
              </w:rPr>
              <w:t>「</w:t>
            </w:r>
            <w:r w:rsidRPr="00B65070">
              <w:rPr>
                <w:rFonts w:ascii="Times New Roman" w:eastAsia="標楷體" w:hAnsi="Times New Roman" w:cs="Times New Roman" w:hint="eastAsia"/>
                <w:b/>
                <w:bCs/>
                <w:kern w:val="0"/>
                <w:szCs w:val="24"/>
                <w:u w:val="single"/>
              </w:rPr>
              <w:t>警語及注意事項</w:t>
            </w:r>
            <w:r w:rsidRPr="00B65070">
              <w:rPr>
                <w:rFonts w:ascii="Times New Roman" w:eastAsia="標楷體" w:hAnsi="Times New Roman" w:cs="Times New Roman" w:hint="eastAsia"/>
                <w:bCs/>
                <w:kern w:val="0"/>
                <w:szCs w:val="24"/>
              </w:rPr>
              <w:t>」刊載「對肝臟的影響：接受</w:t>
            </w:r>
            <w:r w:rsidRPr="00B65070">
              <w:rPr>
                <w:rFonts w:ascii="Times New Roman" w:eastAsia="標楷體" w:hAnsi="Times New Roman" w:cs="Times New Roman" w:hint="eastAsia"/>
                <w:bCs/>
                <w:kern w:val="0"/>
                <w:szCs w:val="24"/>
              </w:rPr>
              <w:t xml:space="preserve"> </w:t>
            </w:r>
            <w:proofErr w:type="spellStart"/>
            <w:r w:rsidRPr="00B65070">
              <w:rPr>
                <w:rFonts w:ascii="Times New Roman" w:eastAsia="標楷體" w:hAnsi="Times New Roman" w:cs="Times New Roman" w:hint="eastAsia"/>
                <w:bCs/>
                <w:kern w:val="0"/>
                <w:szCs w:val="24"/>
              </w:rPr>
              <w:t>Gilenya</w:t>
            </w:r>
            <w:proofErr w:type="spellEnd"/>
            <w:r w:rsidRPr="00B65070">
              <w:rPr>
                <w:rFonts w:ascii="Times New Roman" w:eastAsia="標楷體" w:hAnsi="Times New Roman" w:cs="Times New Roman" w:hint="eastAsia"/>
                <w:bCs/>
                <w:kern w:val="0"/>
                <w:szCs w:val="24"/>
              </w:rPr>
              <w:t xml:space="preserve"> </w:t>
            </w:r>
            <w:r w:rsidRPr="00B65070">
              <w:rPr>
                <w:rFonts w:ascii="Times New Roman" w:eastAsia="標楷體" w:hAnsi="Times New Roman" w:cs="Times New Roman" w:hint="eastAsia"/>
                <w:bCs/>
                <w:kern w:val="0"/>
                <w:szCs w:val="24"/>
              </w:rPr>
              <w:t>治療的病人可能會有肝臟酵素的上升</w:t>
            </w:r>
            <w:r w:rsidRPr="00B65070">
              <w:rPr>
                <w:rFonts w:ascii="Times New Roman" w:eastAsia="標楷體" w:hAnsi="Times New Roman" w:cs="Times New Roman" w:hint="eastAsia"/>
                <w:bCs/>
                <w:kern w:val="0"/>
                <w:szCs w:val="24"/>
              </w:rPr>
              <w:t>(ALT, GGT, AST)</w:t>
            </w:r>
            <w:r w:rsidR="002B4E5E">
              <w:rPr>
                <w:rFonts w:ascii="Times New Roman" w:eastAsia="標楷體" w:hAnsi="Times New Roman" w:cs="Times New Roman" w:hint="eastAsia"/>
                <w:bCs/>
                <w:kern w:val="0"/>
                <w:szCs w:val="24"/>
              </w:rPr>
              <w:t>。</w:t>
            </w:r>
            <w:r w:rsidR="002B4E5E" w:rsidRPr="00037A49">
              <w:rPr>
                <w:rFonts w:ascii="Times New Roman" w:eastAsia="標楷體" w:hAnsi="Times New Roman" w:cs="Times New Roman" w:hint="eastAsia"/>
                <w:b/>
                <w:bCs/>
                <w:kern w:val="0"/>
                <w:szCs w:val="24"/>
              </w:rPr>
              <w:t>在開始使用</w:t>
            </w:r>
            <w:proofErr w:type="spellStart"/>
            <w:r w:rsidR="002B4E5E" w:rsidRPr="00037A49">
              <w:rPr>
                <w:rFonts w:ascii="Times New Roman" w:eastAsia="標楷體" w:hAnsi="Times New Roman" w:cs="Times New Roman" w:hint="eastAsia"/>
                <w:b/>
                <w:bCs/>
                <w:kern w:val="0"/>
                <w:szCs w:val="24"/>
              </w:rPr>
              <w:t>Gilenya</w:t>
            </w:r>
            <w:proofErr w:type="spellEnd"/>
            <w:r w:rsidR="002B4E5E" w:rsidRPr="00037A49">
              <w:rPr>
                <w:rFonts w:ascii="Times New Roman" w:eastAsia="標楷體" w:hAnsi="Times New Roman" w:cs="Times New Roman" w:hint="eastAsia"/>
                <w:b/>
                <w:bCs/>
                <w:kern w:val="0"/>
                <w:szCs w:val="24"/>
              </w:rPr>
              <w:t>治療前，需有近期的</w:t>
            </w:r>
            <w:r w:rsidR="002B4E5E" w:rsidRPr="00037A49">
              <w:rPr>
                <w:rFonts w:ascii="Times New Roman" w:eastAsia="標楷體" w:hAnsi="Times New Roman" w:cs="Times New Roman" w:hint="eastAsia"/>
                <w:b/>
                <w:bCs/>
                <w:kern w:val="0"/>
                <w:szCs w:val="24"/>
              </w:rPr>
              <w:t>(</w:t>
            </w:r>
            <w:r w:rsidR="002B4E5E" w:rsidRPr="00037A49">
              <w:rPr>
                <w:rFonts w:ascii="Times New Roman" w:eastAsia="標楷體" w:hAnsi="Times New Roman" w:cs="Times New Roman" w:hint="eastAsia"/>
                <w:b/>
                <w:bCs/>
                <w:kern w:val="0"/>
                <w:szCs w:val="24"/>
              </w:rPr>
              <w:t>例如</w:t>
            </w:r>
            <w:r w:rsidR="002B4E5E" w:rsidRPr="00037A49">
              <w:rPr>
                <w:rFonts w:ascii="Times New Roman" w:eastAsia="標楷體" w:hAnsi="Times New Roman" w:cs="Times New Roman" w:hint="eastAsia"/>
                <w:b/>
                <w:bCs/>
                <w:kern w:val="0"/>
                <w:szCs w:val="24"/>
              </w:rPr>
              <w:t>6</w:t>
            </w:r>
            <w:r w:rsidR="002B4E5E" w:rsidRPr="00037A49">
              <w:rPr>
                <w:rFonts w:ascii="Times New Roman" w:eastAsia="標楷體" w:hAnsi="Times New Roman" w:cs="Times New Roman" w:hint="eastAsia"/>
                <w:b/>
                <w:bCs/>
                <w:kern w:val="0"/>
                <w:szCs w:val="24"/>
              </w:rPr>
              <w:t>個月內</w:t>
            </w:r>
            <w:r w:rsidR="002B4E5E" w:rsidRPr="00037A49">
              <w:rPr>
                <w:rFonts w:ascii="Times New Roman" w:eastAsia="標楷體" w:hAnsi="Times New Roman" w:cs="Times New Roman" w:hint="eastAsia"/>
                <w:b/>
                <w:bCs/>
                <w:kern w:val="0"/>
                <w:szCs w:val="24"/>
              </w:rPr>
              <w:t>)</w:t>
            </w:r>
            <w:r w:rsidR="002B4E5E" w:rsidRPr="00037A49">
              <w:rPr>
                <w:rFonts w:ascii="Times New Roman" w:eastAsia="標楷體" w:hAnsi="Times New Roman" w:cs="Times New Roman" w:hint="eastAsia"/>
                <w:b/>
                <w:bCs/>
                <w:kern w:val="0"/>
                <w:szCs w:val="24"/>
              </w:rPr>
              <w:t>轉胺酶</w:t>
            </w:r>
            <w:r w:rsidR="002B4E5E" w:rsidRPr="00037A49">
              <w:rPr>
                <w:rFonts w:ascii="Times New Roman" w:eastAsia="標楷體" w:hAnsi="Times New Roman" w:cs="Times New Roman" w:hint="eastAsia"/>
                <w:b/>
                <w:bCs/>
                <w:kern w:val="0"/>
                <w:szCs w:val="24"/>
              </w:rPr>
              <w:t>(transaminase)</w:t>
            </w:r>
            <w:r w:rsidR="002B4E5E" w:rsidRPr="00037A49">
              <w:rPr>
                <w:rFonts w:ascii="Times New Roman" w:eastAsia="標楷體" w:hAnsi="Times New Roman" w:cs="Times New Roman" w:hint="eastAsia"/>
                <w:b/>
                <w:bCs/>
                <w:kern w:val="0"/>
                <w:szCs w:val="24"/>
              </w:rPr>
              <w:t>及膽紅素血中濃度的報告</w:t>
            </w:r>
            <w:r w:rsidR="002B4E5E">
              <w:rPr>
                <w:rFonts w:ascii="Times New Roman" w:eastAsia="標楷體" w:hAnsi="Times New Roman" w:cs="Times New Roman" w:hint="eastAsia"/>
                <w:bCs/>
                <w:kern w:val="0"/>
                <w:szCs w:val="24"/>
              </w:rPr>
              <w:t>。</w:t>
            </w:r>
            <w:r w:rsidR="002B4E5E" w:rsidRPr="002B4E5E">
              <w:rPr>
                <w:rFonts w:ascii="Times New Roman" w:eastAsia="標楷體" w:hAnsi="Times New Roman" w:cs="Times New Roman" w:hint="eastAsia"/>
                <w:bCs/>
                <w:kern w:val="0"/>
                <w:szCs w:val="24"/>
              </w:rPr>
              <w:t>在臨床試驗</w:t>
            </w:r>
            <w:proofErr w:type="gramStart"/>
            <w:r w:rsidR="002B4E5E" w:rsidRPr="002B4E5E">
              <w:rPr>
                <w:rFonts w:ascii="Times New Roman" w:eastAsia="標楷體" w:hAnsi="Times New Roman" w:cs="Times New Roman" w:hint="eastAsia"/>
                <w:bCs/>
                <w:kern w:val="0"/>
                <w:szCs w:val="24"/>
              </w:rPr>
              <w:t>期間，</w:t>
            </w:r>
            <w:proofErr w:type="gramEnd"/>
            <w:r w:rsidR="002B4E5E" w:rsidRPr="002B4E5E">
              <w:rPr>
                <w:rFonts w:ascii="Times New Roman" w:eastAsia="標楷體" w:hAnsi="Times New Roman" w:cs="Times New Roman"/>
                <w:bCs/>
                <w:kern w:val="0"/>
                <w:szCs w:val="24"/>
              </w:rPr>
              <w:t>8%</w:t>
            </w:r>
            <w:r w:rsidR="002B4E5E" w:rsidRPr="002B4E5E">
              <w:rPr>
                <w:rFonts w:ascii="Times New Roman" w:eastAsia="標楷體" w:hAnsi="Times New Roman" w:cs="Times New Roman" w:hint="eastAsia"/>
                <w:bCs/>
                <w:kern w:val="0"/>
                <w:szCs w:val="24"/>
              </w:rPr>
              <w:t>接受</w:t>
            </w:r>
            <w:proofErr w:type="spellStart"/>
            <w:r w:rsidR="002B4E5E" w:rsidRPr="002B4E5E">
              <w:rPr>
                <w:rFonts w:ascii="Times New Roman" w:eastAsia="標楷體" w:hAnsi="Times New Roman" w:cs="Times New Roman"/>
                <w:bCs/>
                <w:kern w:val="0"/>
                <w:szCs w:val="24"/>
              </w:rPr>
              <w:t>Gilenya</w:t>
            </w:r>
            <w:proofErr w:type="spellEnd"/>
            <w:r w:rsidR="002B4E5E" w:rsidRPr="002B4E5E">
              <w:rPr>
                <w:rFonts w:ascii="Times New Roman" w:eastAsia="標楷體" w:hAnsi="Times New Roman" w:cs="Times New Roman"/>
                <w:bCs/>
                <w:kern w:val="0"/>
                <w:szCs w:val="24"/>
              </w:rPr>
              <w:t xml:space="preserve"> 0.5</w:t>
            </w:r>
            <w:r w:rsidR="002B4E5E" w:rsidRPr="002B4E5E">
              <w:rPr>
                <w:rFonts w:ascii="Times New Roman" w:eastAsia="標楷體" w:hAnsi="Times New Roman" w:cs="Times New Roman" w:hint="eastAsia"/>
                <w:bCs/>
                <w:kern w:val="0"/>
                <w:szCs w:val="24"/>
              </w:rPr>
              <w:t>毫克治療的成人病人出現肝臟轉胺酶濃度上升正常值上限</w:t>
            </w:r>
            <w:r w:rsidR="002B4E5E" w:rsidRPr="002B4E5E">
              <w:rPr>
                <w:rFonts w:ascii="Times New Roman" w:eastAsia="標楷體" w:hAnsi="Times New Roman" w:cs="Times New Roman"/>
                <w:bCs/>
                <w:kern w:val="0"/>
                <w:szCs w:val="24"/>
              </w:rPr>
              <w:t xml:space="preserve"> (ULN) </w:t>
            </w:r>
            <w:r w:rsidR="002B4E5E" w:rsidRPr="002B4E5E">
              <w:rPr>
                <w:rFonts w:ascii="Times New Roman" w:eastAsia="標楷體" w:hAnsi="Times New Roman" w:cs="Times New Roman" w:hint="eastAsia"/>
                <w:bCs/>
                <w:kern w:val="0"/>
                <w:szCs w:val="24"/>
              </w:rPr>
              <w:t>的</w:t>
            </w:r>
            <w:r w:rsidR="002B4E5E" w:rsidRPr="002B4E5E">
              <w:rPr>
                <w:rFonts w:ascii="Times New Roman" w:eastAsia="標楷體" w:hAnsi="Times New Roman" w:cs="Times New Roman"/>
                <w:bCs/>
                <w:kern w:val="0"/>
                <w:szCs w:val="24"/>
              </w:rPr>
              <w:t>3</w:t>
            </w:r>
            <w:r w:rsidR="002B4E5E" w:rsidRPr="002B4E5E">
              <w:rPr>
                <w:rFonts w:ascii="Times New Roman" w:eastAsia="標楷體" w:hAnsi="Times New Roman" w:cs="Times New Roman" w:hint="eastAsia"/>
                <w:bCs/>
                <w:kern w:val="0"/>
                <w:szCs w:val="24"/>
              </w:rPr>
              <w:t>倍或以上，接受安慰劑的受試者則為</w:t>
            </w:r>
            <w:r w:rsidR="002B4E5E" w:rsidRPr="002B4E5E">
              <w:rPr>
                <w:rFonts w:ascii="Times New Roman" w:eastAsia="標楷體" w:hAnsi="Times New Roman" w:cs="Times New Roman"/>
                <w:bCs/>
                <w:kern w:val="0"/>
                <w:szCs w:val="24"/>
              </w:rPr>
              <w:t>1.9%</w:t>
            </w:r>
            <w:r w:rsidR="002B4E5E" w:rsidRPr="002B4E5E">
              <w:rPr>
                <w:rFonts w:ascii="Times New Roman" w:eastAsia="標楷體" w:hAnsi="Times New Roman" w:cs="Times New Roman" w:hint="eastAsia"/>
                <w:bCs/>
                <w:kern w:val="0"/>
                <w:szCs w:val="24"/>
              </w:rPr>
              <w:t>。</w:t>
            </w:r>
            <w:r w:rsidR="002B4E5E" w:rsidRPr="002B4E5E">
              <w:rPr>
                <w:rFonts w:ascii="Times New Roman" w:eastAsia="標楷體" w:hAnsi="Times New Roman" w:cs="Times New Roman"/>
                <w:bCs/>
                <w:kern w:val="0"/>
                <w:szCs w:val="24"/>
              </w:rPr>
              <w:t>1.8%</w:t>
            </w:r>
            <w:r w:rsidR="002B4E5E" w:rsidRPr="002B4E5E">
              <w:rPr>
                <w:rFonts w:ascii="Times New Roman" w:eastAsia="標楷體" w:hAnsi="Times New Roman" w:cs="Times New Roman" w:hint="eastAsia"/>
                <w:bCs/>
                <w:kern w:val="0"/>
                <w:szCs w:val="24"/>
              </w:rPr>
              <w:t>接受</w:t>
            </w:r>
            <w:proofErr w:type="spellStart"/>
            <w:r w:rsidR="002B4E5E" w:rsidRPr="002B4E5E">
              <w:rPr>
                <w:rFonts w:ascii="Times New Roman" w:eastAsia="標楷體" w:hAnsi="Times New Roman" w:cs="Times New Roman"/>
                <w:bCs/>
                <w:kern w:val="0"/>
                <w:szCs w:val="24"/>
              </w:rPr>
              <w:t>Gilenya</w:t>
            </w:r>
            <w:proofErr w:type="spellEnd"/>
            <w:r w:rsidR="002B4E5E" w:rsidRPr="002B4E5E">
              <w:rPr>
                <w:rFonts w:ascii="Times New Roman" w:eastAsia="標楷體" w:hAnsi="Times New Roman" w:cs="Times New Roman"/>
                <w:bCs/>
                <w:kern w:val="0"/>
                <w:szCs w:val="24"/>
              </w:rPr>
              <w:t xml:space="preserve"> 0.5</w:t>
            </w:r>
            <w:r w:rsidR="002B4E5E" w:rsidRPr="002B4E5E">
              <w:rPr>
                <w:rFonts w:ascii="Times New Roman" w:eastAsia="標楷體" w:hAnsi="Times New Roman" w:cs="Times New Roman" w:hint="eastAsia"/>
                <w:bCs/>
                <w:kern w:val="0"/>
                <w:szCs w:val="24"/>
              </w:rPr>
              <w:t>毫克治療的病人和</w:t>
            </w:r>
            <w:r w:rsidR="002B4E5E" w:rsidRPr="002B4E5E">
              <w:rPr>
                <w:rFonts w:ascii="Times New Roman" w:eastAsia="標楷體" w:hAnsi="Times New Roman" w:cs="Times New Roman"/>
                <w:bCs/>
                <w:kern w:val="0"/>
                <w:szCs w:val="24"/>
              </w:rPr>
              <w:t>0.9%</w:t>
            </w:r>
            <w:r w:rsidR="002B4E5E" w:rsidRPr="002B4E5E">
              <w:rPr>
                <w:rFonts w:ascii="Times New Roman" w:eastAsia="標楷體" w:hAnsi="Times New Roman" w:cs="Times New Roman" w:hint="eastAsia"/>
                <w:bCs/>
                <w:kern w:val="0"/>
                <w:szCs w:val="24"/>
              </w:rPr>
              <w:t>接受安慰劑的受試者，出現肝臟轉胺酶濃度上升正常值上限</w:t>
            </w:r>
            <w:r w:rsidR="002B4E5E" w:rsidRPr="002B4E5E">
              <w:rPr>
                <w:rFonts w:ascii="Times New Roman" w:eastAsia="標楷體" w:hAnsi="Times New Roman" w:cs="Times New Roman"/>
                <w:bCs/>
                <w:kern w:val="0"/>
                <w:szCs w:val="24"/>
              </w:rPr>
              <w:t xml:space="preserve"> (ULN) </w:t>
            </w:r>
            <w:r w:rsidR="002B4E5E" w:rsidRPr="002B4E5E">
              <w:rPr>
                <w:rFonts w:ascii="Times New Roman" w:eastAsia="標楷體" w:hAnsi="Times New Roman" w:cs="Times New Roman" w:hint="eastAsia"/>
                <w:bCs/>
                <w:kern w:val="0"/>
                <w:szCs w:val="24"/>
              </w:rPr>
              <w:t>的</w:t>
            </w:r>
            <w:r w:rsidR="002B4E5E" w:rsidRPr="002B4E5E">
              <w:rPr>
                <w:rFonts w:ascii="Times New Roman" w:eastAsia="標楷體" w:hAnsi="Times New Roman" w:cs="Times New Roman"/>
                <w:bCs/>
                <w:kern w:val="0"/>
                <w:szCs w:val="24"/>
              </w:rPr>
              <w:t>5</w:t>
            </w:r>
            <w:r w:rsidR="002B4E5E" w:rsidRPr="002B4E5E">
              <w:rPr>
                <w:rFonts w:ascii="Times New Roman" w:eastAsia="標楷體" w:hAnsi="Times New Roman" w:cs="Times New Roman" w:hint="eastAsia"/>
                <w:bCs/>
                <w:kern w:val="0"/>
                <w:szCs w:val="24"/>
              </w:rPr>
              <w:t>倍。有些病人重新接受</w:t>
            </w:r>
            <w:proofErr w:type="spellStart"/>
            <w:r w:rsidR="002B4E5E" w:rsidRPr="002B4E5E">
              <w:rPr>
                <w:rFonts w:ascii="Times New Roman" w:eastAsia="標楷體" w:hAnsi="Times New Roman" w:cs="Times New Roman"/>
                <w:bCs/>
                <w:kern w:val="0"/>
                <w:szCs w:val="24"/>
              </w:rPr>
              <w:t>Gilenya</w:t>
            </w:r>
            <w:proofErr w:type="spellEnd"/>
            <w:r w:rsidR="002B4E5E" w:rsidRPr="002B4E5E">
              <w:rPr>
                <w:rFonts w:ascii="Times New Roman" w:eastAsia="標楷體" w:hAnsi="Times New Roman" w:cs="Times New Roman"/>
                <w:bCs/>
                <w:kern w:val="0"/>
                <w:szCs w:val="24"/>
              </w:rPr>
              <w:t xml:space="preserve"> </w:t>
            </w:r>
            <w:r w:rsidR="002B4E5E" w:rsidRPr="002B4E5E">
              <w:rPr>
                <w:rFonts w:ascii="Times New Roman" w:eastAsia="標楷體" w:hAnsi="Times New Roman" w:cs="Times New Roman" w:hint="eastAsia"/>
                <w:bCs/>
                <w:kern w:val="0"/>
                <w:szCs w:val="24"/>
              </w:rPr>
              <w:t>治療時，會再出現肝臟轉胺酶濃度上升，認為與治療藥品有關。大多數的血中肝臟轉胺酶濃度上升，發生在</w:t>
            </w:r>
            <w:r w:rsidR="002B4E5E" w:rsidRPr="002B4E5E">
              <w:rPr>
                <w:rFonts w:ascii="Times New Roman" w:eastAsia="標楷體" w:hAnsi="Times New Roman" w:cs="Times New Roman"/>
                <w:bCs/>
                <w:kern w:val="0"/>
                <w:szCs w:val="24"/>
              </w:rPr>
              <w:t>6- 9</w:t>
            </w:r>
            <w:r w:rsidR="002B4E5E" w:rsidRPr="002B4E5E">
              <w:rPr>
                <w:rFonts w:ascii="Times New Roman" w:eastAsia="標楷體" w:hAnsi="Times New Roman" w:cs="Times New Roman" w:hint="eastAsia"/>
                <w:bCs/>
                <w:kern w:val="0"/>
                <w:szCs w:val="24"/>
              </w:rPr>
              <w:t>個月內。在停止</w:t>
            </w:r>
            <w:proofErr w:type="spellStart"/>
            <w:r w:rsidR="002B4E5E" w:rsidRPr="002B4E5E">
              <w:rPr>
                <w:rFonts w:ascii="Times New Roman" w:eastAsia="標楷體" w:hAnsi="Times New Roman" w:cs="Times New Roman"/>
                <w:bCs/>
                <w:kern w:val="0"/>
                <w:szCs w:val="24"/>
              </w:rPr>
              <w:t>Gilenya</w:t>
            </w:r>
            <w:proofErr w:type="spellEnd"/>
            <w:r w:rsidR="002B4E5E" w:rsidRPr="002B4E5E">
              <w:rPr>
                <w:rFonts w:ascii="Times New Roman" w:eastAsia="標楷體" w:hAnsi="Times New Roman" w:cs="Times New Roman" w:hint="eastAsia"/>
                <w:bCs/>
                <w:kern w:val="0"/>
                <w:szCs w:val="24"/>
              </w:rPr>
              <w:t>治療後約</w:t>
            </w:r>
            <w:r w:rsidR="002B4E5E" w:rsidRPr="002B4E5E">
              <w:rPr>
                <w:rFonts w:ascii="Times New Roman" w:eastAsia="標楷體" w:hAnsi="Times New Roman" w:cs="Times New Roman"/>
                <w:bCs/>
                <w:kern w:val="0"/>
                <w:szCs w:val="24"/>
              </w:rPr>
              <w:t>2</w:t>
            </w:r>
            <w:r w:rsidR="002B4E5E" w:rsidRPr="002B4E5E">
              <w:rPr>
                <w:rFonts w:ascii="Times New Roman" w:eastAsia="標楷體" w:hAnsi="Times New Roman" w:cs="Times New Roman" w:hint="eastAsia"/>
                <w:bCs/>
                <w:kern w:val="0"/>
                <w:szCs w:val="24"/>
              </w:rPr>
              <w:t>個月內，血清轉胺酶濃度就會回到正常範圍內。</w:t>
            </w:r>
            <w:r w:rsidR="002B4E5E" w:rsidRPr="00037A49">
              <w:rPr>
                <w:rFonts w:ascii="Times New Roman" w:eastAsia="標楷體" w:hAnsi="Times New Roman" w:cs="Times New Roman" w:hint="eastAsia"/>
                <w:b/>
                <w:bCs/>
                <w:kern w:val="0"/>
                <w:szCs w:val="24"/>
              </w:rPr>
              <w:t>病人若有肝臟功能障礙的症狀時，例如不明原因的噁心，嘔吐，腹痛，疲倦，食慾不振，或黃疸及</w:t>
            </w:r>
            <w:r w:rsidR="002B4E5E" w:rsidRPr="00037A49">
              <w:rPr>
                <w:rFonts w:ascii="Times New Roman" w:eastAsia="標楷體" w:hAnsi="Times New Roman" w:cs="Times New Roman" w:hint="eastAsia"/>
                <w:b/>
                <w:bCs/>
                <w:kern w:val="0"/>
                <w:szCs w:val="24"/>
              </w:rPr>
              <w:t xml:space="preserve">/ </w:t>
            </w:r>
            <w:r w:rsidR="002B4E5E" w:rsidRPr="00037A49">
              <w:rPr>
                <w:rFonts w:ascii="Times New Roman" w:eastAsia="標楷體" w:hAnsi="Times New Roman" w:cs="Times New Roman" w:hint="eastAsia"/>
                <w:b/>
                <w:bCs/>
                <w:kern w:val="0"/>
                <w:szCs w:val="24"/>
              </w:rPr>
              <w:t>或出現深色尿液，應監測肝臟酵素的濃度</w:t>
            </w:r>
            <w:r w:rsidR="002B4E5E" w:rsidRPr="002B4E5E">
              <w:rPr>
                <w:rFonts w:ascii="Times New Roman" w:eastAsia="標楷體" w:hAnsi="Times New Roman" w:cs="Times New Roman" w:hint="eastAsia"/>
                <w:bCs/>
                <w:kern w:val="0"/>
                <w:szCs w:val="24"/>
              </w:rPr>
              <w:t>。若有明顯的肝臟損害時，應停止</w:t>
            </w:r>
            <w:proofErr w:type="spellStart"/>
            <w:r w:rsidR="002B4E5E" w:rsidRPr="002B4E5E">
              <w:rPr>
                <w:rFonts w:ascii="Times New Roman" w:eastAsia="標楷體" w:hAnsi="Times New Roman" w:cs="Times New Roman" w:hint="eastAsia"/>
                <w:bCs/>
                <w:kern w:val="0"/>
                <w:szCs w:val="24"/>
              </w:rPr>
              <w:t>Gilenya</w:t>
            </w:r>
            <w:proofErr w:type="spellEnd"/>
            <w:r w:rsidR="002B4E5E" w:rsidRPr="002B4E5E">
              <w:rPr>
                <w:rFonts w:ascii="Times New Roman" w:eastAsia="標楷體" w:hAnsi="Times New Roman" w:cs="Times New Roman" w:hint="eastAsia"/>
                <w:bCs/>
                <w:kern w:val="0"/>
                <w:szCs w:val="24"/>
              </w:rPr>
              <w:t>治療。曾患有肝臟疾病的病人，服用</w:t>
            </w:r>
            <w:proofErr w:type="spellStart"/>
            <w:r w:rsidR="002B4E5E" w:rsidRPr="002B4E5E">
              <w:rPr>
                <w:rFonts w:ascii="Times New Roman" w:eastAsia="標楷體" w:hAnsi="Times New Roman" w:cs="Times New Roman" w:hint="eastAsia"/>
                <w:bCs/>
                <w:kern w:val="0"/>
                <w:szCs w:val="24"/>
              </w:rPr>
              <w:t>Gilenya</w:t>
            </w:r>
            <w:proofErr w:type="spellEnd"/>
            <w:r w:rsidR="002B4E5E" w:rsidRPr="002B4E5E">
              <w:rPr>
                <w:rFonts w:ascii="Times New Roman" w:eastAsia="標楷體" w:hAnsi="Times New Roman" w:cs="Times New Roman" w:hint="eastAsia"/>
                <w:bCs/>
                <w:kern w:val="0"/>
                <w:szCs w:val="24"/>
              </w:rPr>
              <w:t>治療時，可能會增加肝臟酵素血中濃度上升的風險。</w:t>
            </w:r>
            <w:r w:rsidRPr="00B65070">
              <w:rPr>
                <w:rFonts w:ascii="Times New Roman" w:eastAsia="標楷體" w:hAnsi="Times New Roman" w:cs="Times New Roman" w:hint="eastAsia"/>
                <w:bCs/>
                <w:kern w:val="0"/>
                <w:szCs w:val="24"/>
              </w:rPr>
              <w:t>」。</w:t>
            </w:r>
          </w:p>
          <w:p w:rsidR="00B65070" w:rsidRDefault="0025369A" w:rsidP="00B65070">
            <w:pPr>
              <w:pStyle w:val="aa"/>
              <w:widowControl/>
              <w:numPr>
                <w:ilvl w:val="0"/>
                <w:numId w:val="13"/>
              </w:numPr>
              <w:ind w:leftChars="0" w:hanging="174"/>
              <w:jc w:val="both"/>
              <w:rPr>
                <w:rFonts w:ascii="Times New Roman" w:eastAsia="標楷體" w:hAnsi="Times New Roman" w:cs="Times New Roman"/>
                <w:bCs/>
                <w:kern w:val="0"/>
                <w:szCs w:val="24"/>
              </w:rPr>
            </w:pPr>
            <w:r w:rsidRPr="00B65070">
              <w:rPr>
                <w:rFonts w:ascii="Times New Roman" w:eastAsia="標楷體" w:hAnsi="Times New Roman" w:cs="Times New Roman" w:hint="eastAsia"/>
                <w:bCs/>
                <w:kern w:val="0"/>
                <w:szCs w:val="24"/>
              </w:rPr>
              <w:t>「</w:t>
            </w:r>
            <w:r w:rsidRPr="00B65070">
              <w:rPr>
                <w:rFonts w:ascii="Times New Roman" w:eastAsia="標楷體" w:hAnsi="Times New Roman" w:cs="Times New Roman" w:hint="eastAsia"/>
                <w:b/>
                <w:bCs/>
                <w:kern w:val="0"/>
                <w:szCs w:val="24"/>
                <w:u w:val="single"/>
              </w:rPr>
              <w:t>不良反應</w:t>
            </w:r>
            <w:r w:rsidRPr="00B65070">
              <w:rPr>
                <w:rFonts w:ascii="Times New Roman" w:eastAsia="標楷體" w:hAnsi="Times New Roman" w:cs="Times New Roman" w:hint="eastAsia"/>
                <w:bCs/>
                <w:kern w:val="0"/>
                <w:szCs w:val="24"/>
              </w:rPr>
              <w:t>」刊載「肝臟酵素濃度上升</w:t>
            </w:r>
            <w:r w:rsidR="0003662F" w:rsidRPr="00B65070">
              <w:rPr>
                <w:rFonts w:ascii="Times New Roman" w:eastAsia="標楷體" w:hAnsi="Times New Roman" w:cs="Times New Roman" w:hint="eastAsia"/>
                <w:bCs/>
                <w:kern w:val="0"/>
                <w:szCs w:val="24"/>
              </w:rPr>
              <w:t xml:space="preserve"> </w:t>
            </w:r>
            <w:r w:rsidRPr="00B65070">
              <w:rPr>
                <w:rFonts w:ascii="Times New Roman" w:eastAsia="標楷體" w:hAnsi="Times New Roman" w:cs="Times New Roman" w:hint="eastAsia"/>
                <w:bCs/>
                <w:kern w:val="0"/>
                <w:szCs w:val="24"/>
              </w:rPr>
              <w:t>(ALT, GGT, AST)</w:t>
            </w:r>
            <w:r w:rsidRPr="00B65070">
              <w:rPr>
                <w:rFonts w:ascii="Times New Roman" w:eastAsia="標楷體" w:hAnsi="Times New Roman" w:cs="Times New Roman" w:hint="eastAsia"/>
                <w:bCs/>
                <w:kern w:val="0"/>
                <w:szCs w:val="24"/>
              </w:rPr>
              <w:t>：很常見」及「肝功能：接受</w:t>
            </w:r>
            <w:r w:rsidRPr="00B65070">
              <w:rPr>
                <w:rFonts w:ascii="Times New Roman" w:eastAsia="標楷體" w:hAnsi="Times New Roman" w:cs="Times New Roman" w:hint="eastAsia"/>
                <w:bCs/>
                <w:kern w:val="0"/>
                <w:szCs w:val="24"/>
              </w:rPr>
              <w:t xml:space="preserve"> </w:t>
            </w:r>
            <w:proofErr w:type="spellStart"/>
            <w:r w:rsidRPr="00B65070">
              <w:rPr>
                <w:rFonts w:ascii="Times New Roman" w:eastAsia="標楷體" w:hAnsi="Times New Roman" w:cs="Times New Roman" w:hint="eastAsia"/>
                <w:bCs/>
                <w:kern w:val="0"/>
                <w:szCs w:val="24"/>
              </w:rPr>
              <w:t>Gilenya</w:t>
            </w:r>
            <w:proofErr w:type="spellEnd"/>
            <w:r w:rsidRPr="00B65070">
              <w:rPr>
                <w:rFonts w:ascii="Times New Roman" w:eastAsia="標楷體" w:hAnsi="Times New Roman" w:cs="Times New Roman" w:hint="eastAsia"/>
                <w:bCs/>
                <w:kern w:val="0"/>
                <w:szCs w:val="24"/>
              </w:rPr>
              <w:t xml:space="preserve"> </w:t>
            </w:r>
            <w:r w:rsidRPr="00B65070">
              <w:rPr>
                <w:rFonts w:ascii="Times New Roman" w:eastAsia="標楷體" w:hAnsi="Times New Roman" w:cs="Times New Roman" w:hint="eastAsia"/>
                <w:bCs/>
                <w:kern w:val="0"/>
                <w:szCs w:val="24"/>
              </w:rPr>
              <w:t>治療的病人可能會有肝臟酵素的上升</w:t>
            </w:r>
            <w:r w:rsidRPr="00B65070">
              <w:rPr>
                <w:rFonts w:ascii="Times New Roman" w:eastAsia="標楷體" w:hAnsi="Times New Roman" w:cs="Times New Roman" w:hint="eastAsia"/>
                <w:bCs/>
                <w:kern w:val="0"/>
                <w:szCs w:val="24"/>
              </w:rPr>
              <w:t>(ALT</w:t>
            </w:r>
            <w:r w:rsidRPr="00B65070">
              <w:rPr>
                <w:rFonts w:ascii="Times New Roman" w:eastAsia="標楷體" w:hAnsi="Times New Roman" w:cs="Times New Roman" w:hint="eastAsia"/>
                <w:bCs/>
                <w:kern w:val="0"/>
                <w:szCs w:val="24"/>
              </w:rPr>
              <w:t>，</w:t>
            </w:r>
            <w:r w:rsidRPr="00B65070">
              <w:rPr>
                <w:rFonts w:ascii="Times New Roman" w:eastAsia="標楷體" w:hAnsi="Times New Roman" w:cs="Times New Roman" w:hint="eastAsia"/>
                <w:bCs/>
                <w:kern w:val="0"/>
                <w:szCs w:val="24"/>
              </w:rPr>
              <w:t>GGT</w:t>
            </w:r>
            <w:r w:rsidRPr="00B65070">
              <w:rPr>
                <w:rFonts w:ascii="Times New Roman" w:eastAsia="標楷體" w:hAnsi="Times New Roman" w:cs="Times New Roman" w:hint="eastAsia"/>
                <w:bCs/>
                <w:kern w:val="0"/>
                <w:szCs w:val="24"/>
              </w:rPr>
              <w:t>，</w:t>
            </w:r>
            <w:r w:rsidRPr="00B65070">
              <w:rPr>
                <w:rFonts w:ascii="Times New Roman" w:eastAsia="標楷體" w:hAnsi="Times New Roman" w:cs="Times New Roman" w:hint="eastAsia"/>
                <w:bCs/>
                <w:kern w:val="0"/>
                <w:szCs w:val="24"/>
              </w:rPr>
              <w:t xml:space="preserve"> AST)</w:t>
            </w:r>
            <w:r w:rsidRPr="00B65070">
              <w:rPr>
                <w:rFonts w:ascii="Times New Roman" w:eastAsia="標楷體" w:hAnsi="Times New Roman" w:cs="Times New Roman" w:hint="eastAsia"/>
                <w:bCs/>
                <w:kern w:val="0"/>
                <w:szCs w:val="24"/>
              </w:rPr>
              <w:t>。</w:t>
            </w:r>
            <w:r w:rsidR="002B4E5E" w:rsidRPr="002B4E5E">
              <w:rPr>
                <w:rFonts w:ascii="Times New Roman" w:eastAsia="標楷體" w:hAnsi="Times New Roman" w:cs="Times New Roman" w:hint="eastAsia"/>
                <w:bCs/>
                <w:kern w:val="0"/>
                <w:szCs w:val="24"/>
              </w:rPr>
              <w:t>在臨床研究中，分別有</w:t>
            </w:r>
            <w:r w:rsidR="002B4E5E" w:rsidRPr="002B4E5E">
              <w:rPr>
                <w:rFonts w:ascii="Times New Roman" w:eastAsia="標楷體" w:hAnsi="Times New Roman" w:cs="Times New Roman"/>
                <w:bCs/>
                <w:kern w:val="0"/>
                <w:szCs w:val="24"/>
              </w:rPr>
              <w:t>8.0%</w:t>
            </w:r>
            <w:r w:rsidR="002B4E5E" w:rsidRPr="002B4E5E">
              <w:rPr>
                <w:rFonts w:ascii="Times New Roman" w:eastAsia="標楷體" w:hAnsi="Times New Roman" w:cs="Times New Roman" w:hint="eastAsia"/>
                <w:bCs/>
                <w:kern w:val="0"/>
                <w:szCs w:val="24"/>
              </w:rPr>
              <w:t>及</w:t>
            </w:r>
            <w:r w:rsidR="002B4E5E" w:rsidRPr="002B4E5E">
              <w:rPr>
                <w:rFonts w:ascii="Times New Roman" w:eastAsia="標楷體" w:hAnsi="Times New Roman" w:cs="Times New Roman"/>
                <w:bCs/>
                <w:kern w:val="0"/>
                <w:szCs w:val="24"/>
              </w:rPr>
              <w:t>1.8%</w:t>
            </w:r>
            <w:r w:rsidR="002B4E5E" w:rsidRPr="002B4E5E">
              <w:rPr>
                <w:rFonts w:ascii="Times New Roman" w:eastAsia="標楷體" w:hAnsi="Times New Roman" w:cs="Times New Roman" w:hint="eastAsia"/>
                <w:bCs/>
                <w:kern w:val="0"/>
                <w:szCs w:val="24"/>
              </w:rPr>
              <w:t>接受</w:t>
            </w:r>
            <w:proofErr w:type="spellStart"/>
            <w:r w:rsidR="002B4E5E" w:rsidRPr="002B4E5E">
              <w:rPr>
                <w:rFonts w:ascii="Times New Roman" w:eastAsia="標楷體" w:hAnsi="Times New Roman" w:cs="Times New Roman"/>
                <w:bCs/>
                <w:kern w:val="0"/>
                <w:szCs w:val="24"/>
              </w:rPr>
              <w:t>Gilenya</w:t>
            </w:r>
            <w:proofErr w:type="spellEnd"/>
            <w:r w:rsidR="002B4E5E" w:rsidRPr="002B4E5E">
              <w:rPr>
                <w:rFonts w:ascii="Times New Roman" w:eastAsia="標楷體" w:hAnsi="Times New Roman" w:cs="Times New Roman"/>
                <w:bCs/>
                <w:kern w:val="0"/>
                <w:szCs w:val="24"/>
              </w:rPr>
              <w:t xml:space="preserve"> 0.5</w:t>
            </w:r>
            <w:r w:rsidR="002B4E5E" w:rsidRPr="002B4E5E">
              <w:rPr>
                <w:rFonts w:ascii="Times New Roman" w:eastAsia="標楷體" w:hAnsi="Times New Roman" w:cs="Times New Roman" w:hint="eastAsia"/>
                <w:bCs/>
                <w:kern w:val="0"/>
                <w:szCs w:val="24"/>
              </w:rPr>
              <w:t>毫克治療的受試者出現無症狀的血中肝臟轉胺酶濃度上升超過正常值上限</w:t>
            </w:r>
            <w:r w:rsidR="002B4E5E" w:rsidRPr="002B4E5E">
              <w:rPr>
                <w:rFonts w:ascii="Times New Roman" w:eastAsia="標楷體" w:hAnsi="Times New Roman" w:cs="Times New Roman"/>
                <w:bCs/>
                <w:kern w:val="0"/>
                <w:szCs w:val="24"/>
              </w:rPr>
              <w:t>(ULN) 3</w:t>
            </w:r>
            <w:r w:rsidR="002B4E5E" w:rsidRPr="002B4E5E">
              <w:rPr>
                <w:rFonts w:ascii="Times New Roman" w:eastAsia="標楷體" w:hAnsi="Times New Roman" w:cs="Times New Roman" w:hint="eastAsia"/>
                <w:bCs/>
                <w:kern w:val="0"/>
                <w:szCs w:val="24"/>
              </w:rPr>
              <w:t>倍及</w:t>
            </w:r>
            <w:r w:rsidR="002B4E5E" w:rsidRPr="002B4E5E">
              <w:rPr>
                <w:rFonts w:ascii="Times New Roman" w:eastAsia="標楷體" w:hAnsi="Times New Roman" w:cs="Times New Roman"/>
                <w:bCs/>
                <w:kern w:val="0"/>
                <w:szCs w:val="24"/>
              </w:rPr>
              <w:t>5</w:t>
            </w:r>
            <w:r w:rsidR="002B4E5E" w:rsidRPr="002B4E5E">
              <w:rPr>
                <w:rFonts w:ascii="Times New Roman" w:eastAsia="標楷體" w:hAnsi="Times New Roman" w:cs="Times New Roman" w:hint="eastAsia"/>
                <w:bCs/>
                <w:kern w:val="0"/>
                <w:szCs w:val="24"/>
              </w:rPr>
              <w:t>倍。大多數的血中肝臟轉胺酶濃度上升，發生在</w:t>
            </w:r>
            <w:r w:rsidR="002B4E5E" w:rsidRPr="002B4E5E">
              <w:rPr>
                <w:rFonts w:ascii="Times New Roman" w:eastAsia="標楷體" w:hAnsi="Times New Roman" w:cs="Times New Roman"/>
                <w:bCs/>
                <w:kern w:val="0"/>
                <w:szCs w:val="24"/>
              </w:rPr>
              <w:t>6~ 9</w:t>
            </w:r>
            <w:r w:rsidR="002B4E5E" w:rsidRPr="002B4E5E">
              <w:rPr>
                <w:rFonts w:ascii="Times New Roman" w:eastAsia="標楷體" w:hAnsi="Times New Roman" w:cs="Times New Roman" w:hint="eastAsia"/>
                <w:bCs/>
                <w:kern w:val="0"/>
                <w:szCs w:val="24"/>
              </w:rPr>
              <w:t>個月內。在停止</w:t>
            </w:r>
            <w:proofErr w:type="spellStart"/>
            <w:r w:rsidR="002B4E5E" w:rsidRPr="002B4E5E">
              <w:rPr>
                <w:rFonts w:ascii="Times New Roman" w:eastAsia="標楷體" w:hAnsi="Times New Roman" w:cs="Times New Roman"/>
                <w:bCs/>
                <w:kern w:val="0"/>
                <w:szCs w:val="24"/>
              </w:rPr>
              <w:t>Gilenya</w:t>
            </w:r>
            <w:proofErr w:type="spellEnd"/>
            <w:r w:rsidR="002B4E5E" w:rsidRPr="002B4E5E">
              <w:rPr>
                <w:rFonts w:ascii="Times New Roman" w:eastAsia="標楷體" w:hAnsi="Times New Roman" w:cs="Times New Roman" w:hint="eastAsia"/>
                <w:bCs/>
                <w:kern w:val="0"/>
                <w:szCs w:val="24"/>
              </w:rPr>
              <w:t>治療後約</w:t>
            </w:r>
            <w:r w:rsidR="002B4E5E" w:rsidRPr="002B4E5E">
              <w:rPr>
                <w:rFonts w:ascii="Times New Roman" w:eastAsia="標楷體" w:hAnsi="Times New Roman" w:cs="Times New Roman"/>
                <w:bCs/>
                <w:kern w:val="0"/>
                <w:szCs w:val="24"/>
              </w:rPr>
              <w:t>2</w:t>
            </w:r>
            <w:r w:rsidR="002B4E5E" w:rsidRPr="002B4E5E">
              <w:rPr>
                <w:rFonts w:ascii="Times New Roman" w:eastAsia="標楷體" w:hAnsi="Times New Roman" w:cs="Times New Roman" w:hint="eastAsia"/>
                <w:bCs/>
                <w:kern w:val="0"/>
                <w:szCs w:val="24"/>
              </w:rPr>
              <w:t>個月內，</w:t>
            </w:r>
            <w:r w:rsidR="002B4E5E" w:rsidRPr="002B4E5E">
              <w:rPr>
                <w:rFonts w:ascii="Times New Roman" w:eastAsia="標楷體" w:hAnsi="Times New Roman" w:cs="Times New Roman"/>
                <w:bCs/>
                <w:kern w:val="0"/>
                <w:szCs w:val="24"/>
              </w:rPr>
              <w:t>ALT</w:t>
            </w:r>
            <w:r w:rsidR="002B4E5E" w:rsidRPr="002B4E5E">
              <w:rPr>
                <w:rFonts w:ascii="Times New Roman" w:eastAsia="標楷體" w:hAnsi="Times New Roman" w:cs="Times New Roman" w:hint="eastAsia"/>
                <w:bCs/>
                <w:kern w:val="0"/>
                <w:szCs w:val="24"/>
              </w:rPr>
              <w:t>就會回到正常範圍內。少數受試者出現</w:t>
            </w:r>
            <w:r w:rsidR="002B4E5E" w:rsidRPr="002B4E5E">
              <w:rPr>
                <w:rFonts w:ascii="Times New Roman" w:eastAsia="標楷體" w:hAnsi="Times New Roman" w:cs="Times New Roman"/>
                <w:bCs/>
                <w:kern w:val="0"/>
                <w:szCs w:val="24"/>
              </w:rPr>
              <w:t>ALT</w:t>
            </w:r>
            <w:r w:rsidR="002B4E5E" w:rsidRPr="002B4E5E">
              <w:rPr>
                <w:rFonts w:ascii="Times New Roman" w:eastAsia="標楷體" w:hAnsi="Times New Roman" w:cs="Times New Roman" w:hint="eastAsia"/>
                <w:bCs/>
                <w:kern w:val="0"/>
                <w:szCs w:val="24"/>
              </w:rPr>
              <w:t>上升超過正常值上限</w:t>
            </w:r>
            <w:r w:rsidR="002B4E5E" w:rsidRPr="002B4E5E">
              <w:rPr>
                <w:rFonts w:ascii="Times New Roman" w:eastAsia="標楷體" w:hAnsi="Times New Roman" w:cs="Times New Roman"/>
                <w:bCs/>
                <w:kern w:val="0"/>
                <w:szCs w:val="24"/>
              </w:rPr>
              <w:t>5</w:t>
            </w:r>
            <w:r w:rsidR="002B4E5E" w:rsidRPr="002B4E5E">
              <w:rPr>
                <w:rFonts w:ascii="Times New Roman" w:eastAsia="標楷體" w:hAnsi="Times New Roman" w:cs="Times New Roman" w:hint="eastAsia"/>
                <w:bCs/>
                <w:kern w:val="0"/>
                <w:szCs w:val="24"/>
              </w:rPr>
              <w:t>倍且繼續使用</w:t>
            </w:r>
            <w:proofErr w:type="spellStart"/>
            <w:r w:rsidR="002B4E5E" w:rsidRPr="002B4E5E">
              <w:rPr>
                <w:rFonts w:ascii="Times New Roman" w:eastAsia="標楷體" w:hAnsi="Times New Roman" w:cs="Times New Roman"/>
                <w:bCs/>
                <w:kern w:val="0"/>
                <w:szCs w:val="24"/>
              </w:rPr>
              <w:t>Gilenya</w:t>
            </w:r>
            <w:proofErr w:type="spellEnd"/>
            <w:r w:rsidR="002B4E5E" w:rsidRPr="002B4E5E">
              <w:rPr>
                <w:rFonts w:ascii="Times New Roman" w:eastAsia="標楷體" w:hAnsi="Times New Roman" w:cs="Times New Roman" w:hint="eastAsia"/>
                <w:bCs/>
                <w:kern w:val="0"/>
                <w:szCs w:val="24"/>
              </w:rPr>
              <w:t>治療，其升高的</w:t>
            </w:r>
            <w:r w:rsidR="002B4E5E" w:rsidRPr="002B4E5E">
              <w:rPr>
                <w:rFonts w:ascii="Times New Roman" w:eastAsia="標楷體" w:hAnsi="Times New Roman" w:cs="Times New Roman"/>
                <w:bCs/>
                <w:kern w:val="0"/>
                <w:szCs w:val="24"/>
              </w:rPr>
              <w:t>ALT</w:t>
            </w:r>
            <w:r w:rsidR="002B4E5E" w:rsidRPr="002B4E5E">
              <w:rPr>
                <w:rFonts w:ascii="Times New Roman" w:eastAsia="標楷體" w:hAnsi="Times New Roman" w:cs="Times New Roman" w:hint="eastAsia"/>
                <w:bCs/>
                <w:kern w:val="0"/>
                <w:szCs w:val="24"/>
              </w:rPr>
              <w:t>約在</w:t>
            </w:r>
            <w:r w:rsidR="002B4E5E" w:rsidRPr="002B4E5E">
              <w:rPr>
                <w:rFonts w:ascii="Times New Roman" w:eastAsia="標楷體" w:hAnsi="Times New Roman" w:cs="Times New Roman"/>
                <w:bCs/>
                <w:kern w:val="0"/>
                <w:szCs w:val="24"/>
              </w:rPr>
              <w:t>5</w:t>
            </w:r>
            <w:r w:rsidR="002B4E5E" w:rsidRPr="002B4E5E">
              <w:rPr>
                <w:rFonts w:ascii="Times New Roman" w:eastAsia="標楷體" w:hAnsi="Times New Roman" w:cs="Times New Roman" w:hint="eastAsia"/>
                <w:bCs/>
                <w:kern w:val="0"/>
                <w:szCs w:val="24"/>
              </w:rPr>
              <w:t>個月內回到正常範圍內</w:t>
            </w:r>
            <w:r w:rsidRPr="00B65070">
              <w:rPr>
                <w:rFonts w:ascii="Times New Roman" w:eastAsia="標楷體" w:hAnsi="Times New Roman" w:cs="Times New Roman" w:hint="eastAsia"/>
                <w:bCs/>
                <w:kern w:val="0"/>
                <w:szCs w:val="24"/>
              </w:rPr>
              <w:t>」</w:t>
            </w:r>
            <w:r w:rsidR="002B4E5E" w:rsidRPr="002B4E5E">
              <w:rPr>
                <w:rFonts w:ascii="Times New Roman" w:eastAsia="標楷體" w:hAnsi="Times New Roman" w:cs="Times New Roman" w:hint="eastAsia"/>
                <w:b/>
                <w:bCs/>
                <w:kern w:val="0"/>
                <w:szCs w:val="24"/>
              </w:rPr>
              <w:t>。</w:t>
            </w:r>
          </w:p>
          <w:p w:rsidR="0025369A" w:rsidRPr="00B65070" w:rsidRDefault="0025369A" w:rsidP="00B65070">
            <w:pPr>
              <w:pStyle w:val="aa"/>
              <w:widowControl/>
              <w:numPr>
                <w:ilvl w:val="0"/>
                <w:numId w:val="13"/>
              </w:numPr>
              <w:ind w:leftChars="0" w:hanging="174"/>
              <w:jc w:val="both"/>
              <w:rPr>
                <w:rFonts w:ascii="Times New Roman" w:eastAsia="標楷體" w:hAnsi="Times New Roman" w:cs="Times New Roman"/>
                <w:bCs/>
                <w:kern w:val="0"/>
                <w:szCs w:val="24"/>
              </w:rPr>
            </w:pPr>
            <w:r w:rsidRPr="00B65070">
              <w:rPr>
                <w:rFonts w:ascii="Times New Roman" w:eastAsia="標楷體" w:hAnsi="Times New Roman" w:cs="Times New Roman" w:hint="eastAsia"/>
                <w:bCs/>
                <w:kern w:val="0"/>
                <w:szCs w:val="24"/>
              </w:rPr>
              <w:t>「</w:t>
            </w:r>
            <w:r w:rsidRPr="00B65070">
              <w:rPr>
                <w:rFonts w:ascii="Times New Roman" w:eastAsia="標楷體" w:hAnsi="Times New Roman" w:cs="Times New Roman" w:hint="eastAsia"/>
                <w:b/>
                <w:bCs/>
                <w:kern w:val="0"/>
                <w:szCs w:val="24"/>
                <w:u w:val="single"/>
              </w:rPr>
              <w:t>使用於特殊族群</w:t>
            </w:r>
            <w:r w:rsidRPr="00B65070">
              <w:rPr>
                <w:rFonts w:ascii="Times New Roman" w:eastAsia="標楷體" w:hAnsi="Times New Roman" w:cs="Times New Roman" w:hint="eastAsia"/>
                <w:bCs/>
                <w:kern w:val="0"/>
                <w:szCs w:val="24"/>
              </w:rPr>
              <w:t>」刊載「肝功能不全：</w:t>
            </w:r>
            <w:r w:rsidRPr="00B65070">
              <w:rPr>
                <w:rFonts w:ascii="Times New Roman" w:eastAsia="標楷體" w:hAnsi="Times New Roman" w:cs="Times New Roman" w:hint="eastAsia"/>
                <w:bCs/>
                <w:kern w:val="0"/>
                <w:szCs w:val="24"/>
              </w:rPr>
              <w:t xml:space="preserve">Fingolimod </w:t>
            </w:r>
            <w:r w:rsidRPr="00B65070">
              <w:rPr>
                <w:rFonts w:ascii="Times New Roman" w:eastAsia="標楷體" w:hAnsi="Times New Roman" w:cs="Times New Roman" w:hint="eastAsia"/>
                <w:bCs/>
                <w:kern w:val="0"/>
                <w:szCs w:val="24"/>
              </w:rPr>
              <w:t>在重度肝功能不全病人的暴露量會增加一倍，而非</w:t>
            </w:r>
            <w:r w:rsidRPr="00B65070">
              <w:rPr>
                <w:rFonts w:ascii="Times New Roman" w:eastAsia="標楷體" w:hAnsi="Times New Roman" w:cs="Times New Roman" w:hint="eastAsia"/>
                <w:bCs/>
                <w:kern w:val="0"/>
                <w:szCs w:val="24"/>
              </w:rPr>
              <w:t xml:space="preserve"> fingolimod-phosphate</w:t>
            </w:r>
            <w:r w:rsidRPr="00B65070">
              <w:rPr>
                <w:rFonts w:ascii="Times New Roman" w:eastAsia="標楷體" w:hAnsi="Times New Roman" w:cs="Times New Roman" w:hint="eastAsia"/>
                <w:bCs/>
                <w:kern w:val="0"/>
                <w:szCs w:val="24"/>
              </w:rPr>
              <w:t>。重度肝</w:t>
            </w:r>
            <w:r w:rsidRPr="00B65070">
              <w:rPr>
                <w:rFonts w:ascii="Times New Roman" w:eastAsia="標楷體" w:hAnsi="Times New Roman" w:cs="Times New Roman" w:hint="eastAsia"/>
                <w:bCs/>
                <w:kern w:val="0"/>
                <w:szCs w:val="24"/>
              </w:rPr>
              <w:lastRenderedPageBreak/>
              <w:t>功能不全的病人不可</w:t>
            </w:r>
            <w:proofErr w:type="gramStart"/>
            <w:r w:rsidRPr="00B65070">
              <w:rPr>
                <w:rFonts w:ascii="Times New Roman" w:eastAsia="標楷體" w:hAnsi="Times New Roman" w:cs="Times New Roman" w:hint="eastAsia"/>
                <w:bCs/>
                <w:kern w:val="0"/>
                <w:szCs w:val="24"/>
              </w:rPr>
              <w:t>使用本品</w:t>
            </w:r>
            <w:proofErr w:type="gramEnd"/>
            <w:r w:rsidRPr="00B65070">
              <w:rPr>
                <w:rFonts w:ascii="Times New Roman" w:eastAsia="標楷體" w:hAnsi="Times New Roman" w:cs="Times New Roman" w:hint="eastAsia"/>
                <w:bCs/>
                <w:kern w:val="0"/>
                <w:szCs w:val="24"/>
              </w:rPr>
              <w:t>。輕度至中度肝功能不全病人無需調整劑量」。</w:t>
            </w:r>
          </w:p>
          <w:p w:rsidR="0025369A" w:rsidRPr="0025369A" w:rsidRDefault="00B65070" w:rsidP="0025369A">
            <w:pPr>
              <w:widowControl/>
              <w:jc w:val="both"/>
              <w:rPr>
                <w:rFonts w:ascii="Times New Roman" w:eastAsia="標楷體" w:hAnsi="Times New Roman" w:cs="Times New Roman"/>
                <w:bCs/>
                <w:kern w:val="0"/>
                <w:szCs w:val="24"/>
              </w:rPr>
            </w:pPr>
            <w:r w:rsidRPr="00B65070">
              <w:rPr>
                <w:rFonts w:ascii="Times New Roman" w:eastAsia="標楷體" w:hAnsi="Times New Roman" w:cs="Times New Roman" w:hint="eastAsia"/>
                <w:bCs/>
                <w:kern w:val="0"/>
                <w:szCs w:val="24"/>
              </w:rPr>
              <w:t>2.</w:t>
            </w:r>
            <w:r w:rsidRPr="00B65070">
              <w:rPr>
                <w:rFonts w:ascii="Times New Roman" w:eastAsia="標楷體" w:hAnsi="Times New Roman" w:cs="Times New Roman" w:hint="eastAsia"/>
                <w:bCs/>
                <w:kern w:val="0"/>
                <w:szCs w:val="24"/>
              </w:rPr>
              <w:tab/>
            </w:r>
            <w:proofErr w:type="gramStart"/>
            <w:r w:rsidRPr="00B65070">
              <w:rPr>
                <w:rFonts w:ascii="Times New Roman" w:eastAsia="標楷體" w:hAnsi="Times New Roman" w:cs="Times New Roman" w:hint="eastAsia"/>
                <w:bCs/>
                <w:kern w:val="0"/>
                <w:szCs w:val="24"/>
              </w:rPr>
              <w:t>本署現</w:t>
            </w:r>
            <w:proofErr w:type="gramEnd"/>
            <w:r w:rsidRPr="00B65070">
              <w:rPr>
                <w:rFonts w:ascii="Times New Roman" w:eastAsia="標楷體" w:hAnsi="Times New Roman" w:cs="Times New Roman" w:hint="eastAsia"/>
                <w:bCs/>
                <w:kern w:val="0"/>
                <w:szCs w:val="24"/>
              </w:rPr>
              <w:t>正評估是否針對該類藥品採取進一步風險管控措施。</w:t>
            </w:r>
          </w:p>
          <w:p w:rsidR="0025369A" w:rsidRPr="00A5780C" w:rsidRDefault="0025369A" w:rsidP="0025369A">
            <w:pPr>
              <w:widowControl/>
              <w:numPr>
                <w:ilvl w:val="0"/>
                <w:numId w:val="2"/>
              </w:numPr>
              <w:spacing w:line="400" w:lineRule="exact"/>
              <w:ind w:left="482" w:hanging="482"/>
              <w:jc w:val="both"/>
              <w:rPr>
                <w:rFonts w:ascii="Times New Roman" w:eastAsia="標楷體" w:hAnsi="Times New Roman" w:cs="Times New Roman"/>
                <w:b/>
                <w:kern w:val="0"/>
                <w:szCs w:val="24"/>
              </w:rPr>
            </w:pPr>
            <w:r w:rsidRPr="00A5780C">
              <w:rPr>
                <w:rFonts w:ascii="Times New Roman" w:eastAsia="標楷體" w:hAnsi="Times New Roman" w:cs="Times New Roman"/>
                <w:b/>
                <w:bCs/>
                <w:kern w:val="0"/>
                <w:szCs w:val="24"/>
                <w:u w:val="single"/>
              </w:rPr>
              <w:t>醫療人員</w:t>
            </w:r>
            <w:r w:rsidRPr="00A5780C">
              <w:rPr>
                <w:rFonts w:ascii="Times New Roman" w:eastAsia="標楷體" w:hAnsi="Times New Roman" w:cs="Times New Roman"/>
                <w:b/>
                <w:kern w:val="0"/>
                <w:szCs w:val="24"/>
              </w:rPr>
              <w:t>應注意事項：</w:t>
            </w:r>
          </w:p>
          <w:p w:rsidR="0025369A" w:rsidRPr="00A5780C" w:rsidRDefault="0003662F" w:rsidP="0025369A">
            <w:pPr>
              <w:widowControl/>
              <w:numPr>
                <w:ilvl w:val="0"/>
                <w:numId w:val="5"/>
              </w:numPr>
              <w:spacing w:line="400" w:lineRule="exact"/>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曾有</w:t>
            </w:r>
            <w:r w:rsidR="0025369A" w:rsidRPr="00A5780C">
              <w:rPr>
                <w:rFonts w:ascii="Times New Roman" w:eastAsia="標楷體" w:hAnsi="Times New Roman" w:cs="Times New Roman" w:hint="eastAsia"/>
                <w:kern w:val="0"/>
                <w:szCs w:val="24"/>
              </w:rPr>
              <w:t>使用</w:t>
            </w:r>
            <w:r w:rsidRPr="00B65070">
              <w:rPr>
                <w:rFonts w:ascii="Times New Roman" w:eastAsia="標楷體" w:hAnsi="Times New Roman" w:cs="Times New Roman" w:hint="eastAsia"/>
                <w:bCs/>
                <w:kern w:val="0"/>
                <w:szCs w:val="24"/>
              </w:rPr>
              <w:t>含</w:t>
            </w:r>
            <w:r w:rsidRPr="00B65070">
              <w:rPr>
                <w:rFonts w:ascii="Times New Roman" w:eastAsia="標楷體" w:hAnsi="Times New Roman" w:cs="Times New Roman" w:hint="eastAsia"/>
                <w:bCs/>
                <w:kern w:val="0"/>
                <w:szCs w:val="24"/>
              </w:rPr>
              <w:t>fingolimod</w:t>
            </w:r>
            <w:r w:rsidRPr="00B65070">
              <w:rPr>
                <w:rFonts w:ascii="Times New Roman" w:eastAsia="標楷體" w:hAnsi="Times New Roman" w:cs="Times New Roman" w:hint="eastAsia"/>
                <w:bCs/>
                <w:kern w:val="0"/>
                <w:szCs w:val="24"/>
              </w:rPr>
              <w:t>成分藥品</w:t>
            </w:r>
            <w:r w:rsidR="0025369A" w:rsidRPr="00A5780C">
              <w:rPr>
                <w:rFonts w:ascii="Times New Roman" w:eastAsia="標楷體" w:hAnsi="Times New Roman" w:cs="Times New Roman" w:hint="eastAsia"/>
                <w:szCs w:val="24"/>
              </w:rPr>
              <w:t>治療的病人</w:t>
            </w:r>
            <w:r w:rsidR="0025369A">
              <w:rPr>
                <w:rFonts w:ascii="Times New Roman" w:eastAsia="標楷體" w:hAnsi="Times New Roman" w:cs="Times New Roman" w:hint="eastAsia"/>
                <w:kern w:val="0"/>
                <w:szCs w:val="24"/>
              </w:rPr>
              <w:t>發生</w:t>
            </w:r>
            <w:proofErr w:type="gramStart"/>
            <w:r w:rsidR="0025369A" w:rsidRPr="00A5780C">
              <w:rPr>
                <w:rFonts w:ascii="Times New Roman" w:eastAsia="標楷體" w:hAnsi="Times New Roman" w:hint="eastAsia"/>
                <w:bCs/>
                <w:kern w:val="36"/>
                <w:lang w:bidi="hi-IN"/>
              </w:rPr>
              <w:t>急性</w:t>
            </w:r>
            <w:r w:rsidR="0025369A">
              <w:rPr>
                <w:rFonts w:ascii="Times New Roman" w:eastAsia="標楷體" w:hAnsi="Times New Roman" w:cs="Times New Roman" w:hint="eastAsia"/>
                <w:kern w:val="0"/>
                <w:szCs w:val="24"/>
              </w:rPr>
              <w:t>肝</w:t>
            </w:r>
            <w:proofErr w:type="gramEnd"/>
            <w:r w:rsidR="0025369A">
              <w:rPr>
                <w:rFonts w:ascii="Times New Roman" w:eastAsia="標楷體" w:hAnsi="Times New Roman" w:cs="Times New Roman" w:hint="eastAsia"/>
                <w:kern w:val="0"/>
                <w:szCs w:val="24"/>
              </w:rPr>
              <w:t>衰竭而需肝臟移植以及具臨床意義之肝損傷</w:t>
            </w:r>
            <w:r w:rsidR="0025369A" w:rsidRPr="00A5780C">
              <w:rPr>
                <w:rFonts w:ascii="Times New Roman" w:eastAsia="標楷體" w:hAnsi="Times New Roman" w:hint="eastAsia"/>
                <w:bCs/>
                <w:kern w:val="36"/>
                <w:lang w:bidi="hi-IN"/>
              </w:rPr>
              <w:t>案例。</w:t>
            </w:r>
          </w:p>
          <w:p w:rsidR="0025369A" w:rsidRPr="00A5780C" w:rsidRDefault="0003662F" w:rsidP="0025369A">
            <w:pPr>
              <w:widowControl/>
              <w:numPr>
                <w:ilvl w:val="0"/>
                <w:numId w:val="5"/>
              </w:numPr>
              <w:spacing w:line="400" w:lineRule="exact"/>
              <w:jc w:val="both"/>
              <w:rPr>
                <w:rFonts w:ascii="Times New Roman" w:eastAsia="標楷體" w:hAnsi="Times New Roman" w:cs="Times New Roman"/>
                <w:kern w:val="0"/>
                <w:szCs w:val="24"/>
              </w:rPr>
            </w:pPr>
            <w:r w:rsidRPr="00B65070">
              <w:rPr>
                <w:rFonts w:ascii="Times New Roman" w:eastAsia="標楷體" w:hAnsi="Times New Roman" w:cs="Times New Roman" w:hint="eastAsia"/>
                <w:bCs/>
                <w:kern w:val="0"/>
                <w:szCs w:val="24"/>
              </w:rPr>
              <w:t>含</w:t>
            </w:r>
            <w:r w:rsidRPr="00B65070">
              <w:rPr>
                <w:rFonts w:ascii="Times New Roman" w:eastAsia="標楷體" w:hAnsi="Times New Roman" w:cs="Times New Roman" w:hint="eastAsia"/>
                <w:bCs/>
                <w:kern w:val="0"/>
                <w:szCs w:val="24"/>
              </w:rPr>
              <w:t>fingolimod</w:t>
            </w:r>
            <w:r w:rsidRPr="00B65070">
              <w:rPr>
                <w:rFonts w:ascii="Times New Roman" w:eastAsia="標楷體" w:hAnsi="Times New Roman" w:cs="Times New Roman" w:hint="eastAsia"/>
                <w:bCs/>
                <w:kern w:val="0"/>
                <w:szCs w:val="24"/>
              </w:rPr>
              <w:t>成分藥品</w:t>
            </w:r>
            <w:r w:rsidR="0025369A" w:rsidRPr="002B4E5E">
              <w:rPr>
                <w:rFonts w:ascii="Times New Roman" w:eastAsia="標楷體" w:hAnsi="Times New Roman" w:cs="Times New Roman"/>
                <w:b/>
                <w:shd w:val="clear" w:color="auto" w:fill="FFFFFF"/>
              </w:rPr>
              <w:t>禁用於重度肝功能不全（</w:t>
            </w:r>
            <w:r w:rsidR="0025369A" w:rsidRPr="002B4E5E">
              <w:rPr>
                <w:rFonts w:ascii="Times New Roman" w:eastAsia="標楷體" w:hAnsi="Times New Roman" w:cs="Times New Roman"/>
                <w:b/>
                <w:shd w:val="clear" w:color="auto" w:fill="FFFFFF"/>
              </w:rPr>
              <w:t>Child-Pugh Class C</w:t>
            </w:r>
            <w:r w:rsidR="0025369A" w:rsidRPr="002B4E5E">
              <w:rPr>
                <w:rFonts w:ascii="Times New Roman" w:eastAsia="標楷體" w:hAnsi="Times New Roman" w:cs="Times New Roman"/>
                <w:b/>
                <w:shd w:val="clear" w:color="auto" w:fill="FFFFFF"/>
              </w:rPr>
              <w:t>）</w:t>
            </w:r>
            <w:r w:rsidR="0025369A">
              <w:rPr>
                <w:rFonts w:ascii="Times New Roman" w:eastAsia="標楷體" w:hAnsi="Times New Roman" w:cs="Times New Roman"/>
                <w:shd w:val="clear" w:color="auto" w:fill="FFFFFF"/>
              </w:rPr>
              <w:t>的</w:t>
            </w:r>
            <w:r w:rsidR="0025369A" w:rsidRPr="00A5780C">
              <w:rPr>
                <w:rFonts w:ascii="Times New Roman" w:eastAsia="標楷體" w:hAnsi="Times New Roman" w:cs="Times New Roman"/>
                <w:shd w:val="clear" w:color="auto" w:fill="FFFFFF"/>
              </w:rPr>
              <w:t>病人。</w:t>
            </w:r>
          </w:p>
          <w:p w:rsidR="0025369A" w:rsidRPr="00A5780C" w:rsidRDefault="0025369A" w:rsidP="0025369A">
            <w:pPr>
              <w:widowControl/>
              <w:numPr>
                <w:ilvl w:val="0"/>
                <w:numId w:val="5"/>
              </w:numPr>
              <w:spacing w:line="400" w:lineRule="exact"/>
              <w:jc w:val="both"/>
              <w:rPr>
                <w:rFonts w:ascii="Times New Roman" w:eastAsia="標楷體" w:hAnsi="Times New Roman" w:cs="Times New Roman"/>
                <w:shd w:val="clear" w:color="auto" w:fill="FFFFFF"/>
              </w:rPr>
            </w:pPr>
            <w:r w:rsidRPr="00A5780C">
              <w:rPr>
                <w:rFonts w:ascii="Times New Roman" w:eastAsia="標楷體" w:hAnsi="Times New Roman" w:cs="Times New Roman"/>
                <w:shd w:val="clear" w:color="auto" w:fill="FFFFFF"/>
              </w:rPr>
              <w:t>在開始使用</w:t>
            </w:r>
            <w:r w:rsidR="00742A71" w:rsidRPr="00B65070">
              <w:rPr>
                <w:rFonts w:ascii="Times New Roman" w:eastAsia="標楷體" w:hAnsi="Times New Roman" w:cs="Times New Roman" w:hint="eastAsia"/>
                <w:bCs/>
                <w:kern w:val="0"/>
                <w:szCs w:val="24"/>
              </w:rPr>
              <w:t>含</w:t>
            </w:r>
            <w:r w:rsidR="00742A71" w:rsidRPr="00B65070">
              <w:rPr>
                <w:rFonts w:ascii="Times New Roman" w:eastAsia="標楷體" w:hAnsi="Times New Roman" w:cs="Times New Roman" w:hint="eastAsia"/>
                <w:bCs/>
                <w:kern w:val="0"/>
                <w:szCs w:val="24"/>
              </w:rPr>
              <w:t>fingolimod</w:t>
            </w:r>
            <w:r w:rsidR="00742A71" w:rsidRPr="00B65070">
              <w:rPr>
                <w:rFonts w:ascii="Times New Roman" w:eastAsia="標楷體" w:hAnsi="Times New Roman" w:cs="Times New Roman" w:hint="eastAsia"/>
                <w:bCs/>
                <w:kern w:val="0"/>
                <w:szCs w:val="24"/>
              </w:rPr>
              <w:t>成分藥品</w:t>
            </w:r>
            <w:r w:rsidRPr="00A5780C">
              <w:rPr>
                <w:rFonts w:ascii="Times New Roman" w:eastAsia="標楷體" w:hAnsi="Times New Roman" w:cs="Times New Roman"/>
                <w:shd w:val="clear" w:color="auto" w:fill="FFFFFF"/>
              </w:rPr>
              <w:t>治療前，需有近期的</w:t>
            </w:r>
            <w:proofErr w:type="gramStart"/>
            <w:r w:rsidRPr="00A5780C">
              <w:rPr>
                <w:rFonts w:ascii="Times New Roman" w:eastAsia="標楷體" w:hAnsi="Times New Roman" w:cs="Times New Roman"/>
                <w:shd w:val="clear" w:color="auto" w:fill="FFFFFF"/>
              </w:rPr>
              <w:t>（</w:t>
            </w:r>
            <w:proofErr w:type="gramEnd"/>
            <w:r w:rsidRPr="00A5780C">
              <w:rPr>
                <w:rFonts w:ascii="Times New Roman" w:eastAsia="標楷體" w:hAnsi="Times New Roman" w:cs="Times New Roman"/>
                <w:shd w:val="clear" w:color="auto" w:fill="FFFFFF"/>
              </w:rPr>
              <w:t>例如</w:t>
            </w:r>
            <w:r w:rsidRPr="00A5780C">
              <w:rPr>
                <w:rFonts w:ascii="Times New Roman" w:eastAsia="標楷體" w:hAnsi="Times New Roman" w:cs="Times New Roman"/>
                <w:shd w:val="clear" w:color="auto" w:fill="FFFFFF"/>
              </w:rPr>
              <w:t> 6 </w:t>
            </w:r>
            <w:r w:rsidRPr="00A5780C">
              <w:rPr>
                <w:rFonts w:ascii="Times New Roman" w:eastAsia="標楷體" w:hAnsi="Times New Roman" w:cs="Times New Roman"/>
                <w:shd w:val="clear" w:color="auto" w:fill="FFFFFF"/>
              </w:rPr>
              <w:t>個月內）轉胺酶及膽紅素血中濃度的報告。</w:t>
            </w:r>
          </w:p>
          <w:p w:rsidR="002B4E5E" w:rsidRPr="002B4E5E" w:rsidRDefault="002B4E5E" w:rsidP="0025369A">
            <w:pPr>
              <w:widowControl/>
              <w:numPr>
                <w:ilvl w:val="0"/>
                <w:numId w:val="5"/>
              </w:numPr>
              <w:spacing w:line="400" w:lineRule="exact"/>
              <w:jc w:val="both"/>
              <w:rPr>
                <w:rFonts w:ascii="Times New Roman" w:eastAsia="標楷體" w:hAnsi="Times New Roman" w:cs="Times New Roman"/>
                <w:kern w:val="0"/>
                <w:szCs w:val="24"/>
              </w:rPr>
            </w:pPr>
            <w:r w:rsidRPr="002B4E5E">
              <w:rPr>
                <w:rFonts w:ascii="Times New Roman" w:eastAsia="標楷體" w:hAnsi="Times New Roman" w:cs="Times New Roman" w:hint="eastAsia"/>
                <w:bCs/>
                <w:shd w:val="clear" w:color="auto" w:fill="FFFFFF"/>
              </w:rPr>
              <w:t>病人</w:t>
            </w:r>
            <w:r w:rsidRPr="00742A71">
              <w:rPr>
                <w:rFonts w:ascii="Times New Roman" w:eastAsia="標楷體" w:hAnsi="Times New Roman" w:cs="Times New Roman" w:hint="eastAsia"/>
                <w:b/>
                <w:bCs/>
                <w:shd w:val="clear" w:color="auto" w:fill="FFFFFF"/>
              </w:rPr>
              <w:t>若有肝臟功能障礙的症狀</w:t>
            </w:r>
            <w:r w:rsidRPr="002B4E5E">
              <w:rPr>
                <w:rFonts w:ascii="Times New Roman" w:eastAsia="標楷體" w:hAnsi="Times New Roman" w:cs="Times New Roman" w:hint="eastAsia"/>
                <w:bCs/>
                <w:shd w:val="clear" w:color="auto" w:fill="FFFFFF"/>
              </w:rPr>
              <w:t>時，例如不明原因的噁心，嘔吐，腹痛，疲倦，食慾不振，或黃疸及</w:t>
            </w:r>
            <w:r w:rsidRPr="002B4E5E">
              <w:rPr>
                <w:rFonts w:ascii="Times New Roman" w:eastAsia="標楷體" w:hAnsi="Times New Roman" w:cs="Times New Roman"/>
                <w:bCs/>
                <w:shd w:val="clear" w:color="auto" w:fill="FFFFFF"/>
              </w:rPr>
              <w:t xml:space="preserve">/ </w:t>
            </w:r>
            <w:r w:rsidRPr="002B4E5E">
              <w:rPr>
                <w:rFonts w:ascii="Times New Roman" w:eastAsia="標楷體" w:hAnsi="Times New Roman" w:cs="Times New Roman" w:hint="eastAsia"/>
                <w:bCs/>
                <w:shd w:val="clear" w:color="auto" w:fill="FFFFFF"/>
              </w:rPr>
              <w:t>或出現深色尿液，</w:t>
            </w:r>
            <w:r w:rsidRPr="00742A71">
              <w:rPr>
                <w:rFonts w:ascii="Times New Roman" w:eastAsia="標楷體" w:hAnsi="Times New Roman" w:cs="Times New Roman" w:hint="eastAsia"/>
                <w:b/>
                <w:bCs/>
                <w:shd w:val="clear" w:color="auto" w:fill="FFFFFF"/>
              </w:rPr>
              <w:t>應監測肝臟酵素的濃度</w:t>
            </w:r>
            <w:r w:rsidRPr="002B4E5E">
              <w:rPr>
                <w:rFonts w:ascii="Times New Roman" w:eastAsia="標楷體" w:hAnsi="Times New Roman" w:cs="Times New Roman" w:hint="eastAsia"/>
                <w:bCs/>
                <w:shd w:val="clear" w:color="auto" w:fill="FFFFFF"/>
              </w:rPr>
              <w:t>。若</w:t>
            </w:r>
            <w:r w:rsidRPr="00742A71">
              <w:rPr>
                <w:rFonts w:ascii="Times New Roman" w:eastAsia="標楷體" w:hAnsi="Times New Roman" w:cs="Times New Roman" w:hint="eastAsia"/>
                <w:b/>
                <w:bCs/>
                <w:shd w:val="clear" w:color="auto" w:fill="FFFFFF"/>
              </w:rPr>
              <w:t>有明顯的肝臟損害時，應停止</w:t>
            </w:r>
            <w:r w:rsidR="00742A71">
              <w:rPr>
                <w:rFonts w:ascii="Times New Roman" w:eastAsia="標楷體" w:hAnsi="Times New Roman" w:cs="Times New Roman" w:hint="eastAsia"/>
                <w:b/>
                <w:bCs/>
                <w:shd w:val="clear" w:color="auto" w:fill="FFFFFF"/>
              </w:rPr>
              <w:t>該成分藥品</w:t>
            </w:r>
            <w:r w:rsidRPr="00742A71">
              <w:rPr>
                <w:rFonts w:ascii="Times New Roman" w:eastAsia="標楷體" w:hAnsi="Times New Roman" w:cs="Times New Roman" w:hint="eastAsia"/>
                <w:b/>
                <w:bCs/>
                <w:shd w:val="clear" w:color="auto" w:fill="FFFFFF"/>
              </w:rPr>
              <w:t>治療</w:t>
            </w:r>
            <w:r w:rsidRPr="002B4E5E">
              <w:rPr>
                <w:rFonts w:ascii="Times New Roman" w:eastAsia="標楷體" w:hAnsi="Times New Roman" w:cs="Times New Roman" w:hint="eastAsia"/>
                <w:bCs/>
                <w:shd w:val="clear" w:color="auto" w:fill="FFFFFF"/>
              </w:rPr>
              <w:t>。曾患有肝臟疾病的病人，服用</w:t>
            </w:r>
            <w:r w:rsidR="00742A71">
              <w:rPr>
                <w:rFonts w:ascii="Times New Roman" w:eastAsia="標楷體" w:hAnsi="Times New Roman" w:cs="Times New Roman" w:hint="eastAsia"/>
                <w:bCs/>
                <w:shd w:val="clear" w:color="auto" w:fill="FFFFFF"/>
              </w:rPr>
              <w:t>該成分藥品</w:t>
            </w:r>
            <w:r w:rsidRPr="002B4E5E">
              <w:rPr>
                <w:rFonts w:ascii="Times New Roman" w:eastAsia="標楷體" w:hAnsi="Times New Roman" w:cs="Times New Roman" w:hint="eastAsia"/>
                <w:bCs/>
                <w:shd w:val="clear" w:color="auto" w:fill="FFFFFF"/>
              </w:rPr>
              <w:t>治療時，可能會增加肝臟酵素血中濃度上升的風險。</w:t>
            </w:r>
          </w:p>
          <w:p w:rsidR="0025369A" w:rsidRPr="00A5780C" w:rsidRDefault="0025369A" w:rsidP="0025369A">
            <w:pPr>
              <w:widowControl/>
              <w:numPr>
                <w:ilvl w:val="0"/>
                <w:numId w:val="5"/>
              </w:numPr>
              <w:spacing w:line="400" w:lineRule="exact"/>
              <w:jc w:val="both"/>
              <w:rPr>
                <w:rFonts w:ascii="Times New Roman" w:eastAsia="標楷體" w:hAnsi="Times New Roman" w:cs="Times New Roman"/>
                <w:kern w:val="0"/>
                <w:szCs w:val="24"/>
              </w:rPr>
            </w:pPr>
            <w:r w:rsidRPr="00A5780C">
              <w:rPr>
                <w:rFonts w:ascii="Times New Roman" w:eastAsia="標楷體" w:hAnsi="Times New Roman" w:hint="eastAsia"/>
              </w:rPr>
              <w:t>應</w:t>
            </w:r>
            <w:r w:rsidRPr="00A5780C">
              <w:rPr>
                <w:rFonts w:ascii="Times New Roman" w:eastAsia="標楷體" w:hAnsi="Times New Roman"/>
              </w:rPr>
              <w:t>告知</w:t>
            </w:r>
            <w:r w:rsidRPr="00A5780C">
              <w:rPr>
                <w:rFonts w:ascii="Times New Roman" w:eastAsia="標楷體" w:hAnsi="Times New Roman" w:hint="eastAsia"/>
              </w:rPr>
              <w:t>病人若出現</w:t>
            </w:r>
            <w:r w:rsidRPr="00A5780C">
              <w:rPr>
                <w:rFonts w:ascii="Times New Roman" w:eastAsia="標楷體" w:hAnsi="Times New Roman" w:cs="Times New Roman" w:hint="eastAsia"/>
                <w:shd w:val="clear" w:color="auto" w:fill="FFFFFF"/>
              </w:rPr>
              <w:t>不明原因的噁心、嘔吐、腹痛、疲倦、食慾不振、黃疸、深色尿液等，應立即回診</w:t>
            </w:r>
            <w:r w:rsidRPr="003442F6">
              <w:rPr>
                <w:rFonts w:ascii="Times New Roman" w:eastAsia="標楷體" w:hAnsi="Times New Roman" w:hint="eastAsia"/>
                <w:kern w:val="0"/>
                <w:szCs w:val="24"/>
              </w:rPr>
              <w:t>尋求醫療協助</w:t>
            </w:r>
            <w:r w:rsidRPr="00A5780C">
              <w:rPr>
                <w:rFonts w:ascii="Times New Roman" w:eastAsia="標楷體" w:hAnsi="Times New Roman" w:cs="Times New Roman" w:hint="eastAsia"/>
                <w:shd w:val="clear" w:color="auto" w:fill="FFFFFF"/>
              </w:rPr>
              <w:t>。</w:t>
            </w:r>
          </w:p>
          <w:p w:rsidR="0025369A" w:rsidRPr="00A5780C" w:rsidRDefault="0025369A" w:rsidP="0025369A">
            <w:pPr>
              <w:widowControl/>
              <w:numPr>
                <w:ilvl w:val="0"/>
                <w:numId w:val="2"/>
              </w:numPr>
              <w:spacing w:line="400" w:lineRule="exact"/>
              <w:ind w:left="482" w:hanging="482"/>
              <w:jc w:val="both"/>
              <w:rPr>
                <w:rFonts w:ascii="Times New Roman" w:eastAsia="標楷體" w:hAnsi="Times New Roman" w:cs="Times New Roman"/>
                <w:kern w:val="0"/>
                <w:szCs w:val="24"/>
              </w:rPr>
            </w:pPr>
            <w:r w:rsidRPr="00A5780C">
              <w:rPr>
                <w:rFonts w:ascii="Times New Roman" w:eastAsia="標楷體" w:hAnsi="Times New Roman" w:cs="Times New Roman"/>
                <w:b/>
                <w:bCs/>
                <w:kern w:val="0"/>
                <w:szCs w:val="24"/>
                <w:u w:val="single"/>
              </w:rPr>
              <w:t>病人</w:t>
            </w:r>
            <w:r w:rsidRPr="00A5780C">
              <w:rPr>
                <w:rFonts w:ascii="Times New Roman" w:eastAsia="標楷體" w:hAnsi="Times New Roman" w:cs="Times New Roman"/>
                <w:b/>
                <w:kern w:val="0"/>
                <w:szCs w:val="24"/>
              </w:rPr>
              <w:t>應注意事項</w:t>
            </w:r>
            <w:r w:rsidRPr="00A5780C">
              <w:rPr>
                <w:rFonts w:ascii="Times New Roman" w:eastAsia="標楷體" w:hAnsi="Times New Roman" w:cs="Times New Roman"/>
                <w:kern w:val="0"/>
                <w:szCs w:val="24"/>
              </w:rPr>
              <w:t>：</w:t>
            </w:r>
          </w:p>
          <w:p w:rsidR="0025369A" w:rsidRPr="003442F6" w:rsidRDefault="0025369A" w:rsidP="0025369A">
            <w:pPr>
              <w:widowControl/>
              <w:numPr>
                <w:ilvl w:val="0"/>
                <w:numId w:val="6"/>
              </w:numPr>
              <w:spacing w:line="400" w:lineRule="exact"/>
              <w:jc w:val="both"/>
              <w:rPr>
                <w:rFonts w:ascii="Times New Roman" w:eastAsia="標楷體" w:hAnsi="Times New Roman" w:cs="Times New Roman"/>
                <w:kern w:val="0"/>
                <w:szCs w:val="24"/>
              </w:rPr>
            </w:pPr>
            <w:r w:rsidRPr="00A5780C">
              <w:rPr>
                <w:rFonts w:ascii="Times New Roman" w:eastAsia="標楷體" w:hAnsi="Times New Roman" w:hint="eastAsia"/>
                <w:kern w:val="0"/>
                <w:szCs w:val="24"/>
              </w:rPr>
              <w:t>若您曾經或是現在有肝臟相關病史，就醫時應主動告知醫療人員，醫師將審慎評</w:t>
            </w:r>
            <w:r w:rsidRPr="003442F6">
              <w:rPr>
                <w:rFonts w:ascii="Times New Roman" w:eastAsia="標楷體" w:hAnsi="Times New Roman" w:hint="eastAsia"/>
                <w:kern w:val="0"/>
                <w:szCs w:val="24"/>
              </w:rPr>
              <w:t>估您使用該成分藥品的風險效益。</w:t>
            </w:r>
          </w:p>
          <w:p w:rsidR="0025369A" w:rsidRPr="003442F6" w:rsidRDefault="0025369A" w:rsidP="0025369A">
            <w:pPr>
              <w:widowControl/>
              <w:numPr>
                <w:ilvl w:val="0"/>
                <w:numId w:val="6"/>
              </w:numPr>
              <w:spacing w:line="400" w:lineRule="exact"/>
              <w:jc w:val="both"/>
              <w:rPr>
                <w:rFonts w:ascii="Times New Roman" w:eastAsia="標楷體" w:hAnsi="Times New Roman" w:cs="Times New Roman"/>
                <w:kern w:val="0"/>
                <w:szCs w:val="24"/>
              </w:rPr>
            </w:pPr>
            <w:r w:rsidRPr="003442F6">
              <w:rPr>
                <w:rFonts w:ascii="Times New Roman" w:eastAsia="標楷體" w:hAnsi="Times New Roman" w:hint="eastAsia"/>
                <w:kern w:val="0"/>
                <w:szCs w:val="24"/>
              </w:rPr>
              <w:t>若您於用藥後出現疲累、皮膚或眼睛變黃、深色尿液、腹痛、噁心、嘔吐、食慾降低等症狀時，請立即</w:t>
            </w:r>
            <w:r>
              <w:rPr>
                <w:rFonts w:ascii="Times New Roman" w:eastAsia="標楷體" w:hAnsi="Times New Roman" w:hint="eastAsia"/>
                <w:kern w:val="0"/>
                <w:szCs w:val="24"/>
              </w:rPr>
              <w:t>回診</w:t>
            </w:r>
            <w:r w:rsidRPr="003442F6">
              <w:rPr>
                <w:rFonts w:ascii="Times New Roman" w:eastAsia="標楷體" w:hAnsi="Times New Roman" w:hint="eastAsia"/>
                <w:kern w:val="0"/>
                <w:szCs w:val="24"/>
              </w:rPr>
              <w:t>尋求醫療協助。</w:t>
            </w:r>
          </w:p>
          <w:p w:rsidR="0025369A" w:rsidRPr="00A5780C" w:rsidRDefault="0025369A" w:rsidP="0025369A">
            <w:pPr>
              <w:widowControl/>
              <w:numPr>
                <w:ilvl w:val="0"/>
                <w:numId w:val="6"/>
              </w:numPr>
              <w:spacing w:line="400" w:lineRule="exact"/>
              <w:jc w:val="both"/>
              <w:rPr>
                <w:rFonts w:ascii="Times New Roman" w:eastAsia="標楷體" w:hAnsi="Times New Roman" w:cs="Times New Roman"/>
                <w:kern w:val="0"/>
                <w:szCs w:val="24"/>
              </w:rPr>
            </w:pPr>
            <w:r w:rsidRPr="003442F6">
              <w:rPr>
                <w:rFonts w:ascii="Times New Roman" w:eastAsia="標楷體" w:hAnsi="Times New Roman" w:hint="eastAsia"/>
                <w:kern w:val="0"/>
                <w:szCs w:val="24"/>
              </w:rPr>
              <w:t>若您對用藥有任何疑問或疑慮請諮詢醫療人員。</w:t>
            </w:r>
          </w:p>
          <w:p w:rsidR="0025369A" w:rsidRPr="00147E19" w:rsidRDefault="0025369A" w:rsidP="0025369A">
            <w:pPr>
              <w:widowControl/>
              <w:jc w:val="both"/>
              <w:rPr>
                <w:rFonts w:ascii="Times New Roman" w:eastAsia="標楷體" w:hAnsi="Times New Roman" w:cs="Times New Roman"/>
                <w:color w:val="000000"/>
                <w:kern w:val="0"/>
                <w:szCs w:val="24"/>
              </w:rPr>
            </w:pPr>
          </w:p>
          <w:p w:rsidR="0025369A" w:rsidRPr="00A5780C" w:rsidRDefault="0025369A" w:rsidP="0025369A">
            <w:pPr>
              <w:widowControl/>
              <w:shd w:val="clear" w:color="auto" w:fill="FFFFFF"/>
              <w:jc w:val="both"/>
              <w:rPr>
                <w:rFonts w:ascii="Times New Roman" w:eastAsia="標楷體" w:hAnsi="Times New Roman" w:cs="Times New Roman"/>
                <w:kern w:val="0"/>
                <w:szCs w:val="24"/>
              </w:rPr>
            </w:pPr>
            <w:r w:rsidRPr="00147E19">
              <w:rPr>
                <w:rFonts w:ascii="Times New Roman" w:eastAsia="標楷體" w:hAnsi="Times New Roman" w:cs="Times New Roman"/>
                <w:szCs w:val="24"/>
              </w:rPr>
              <w:t>醫療人員或病人懷疑因為使用（服用）藥品導致不良反應發生時，請立即通報給衛生</w:t>
            </w:r>
            <w:proofErr w:type="gramStart"/>
            <w:r w:rsidRPr="00147E19">
              <w:rPr>
                <w:rFonts w:ascii="Times New Roman" w:eastAsia="標楷體" w:hAnsi="Times New Roman" w:cs="Times New Roman"/>
                <w:szCs w:val="24"/>
              </w:rPr>
              <w:t>福利部所建置</w:t>
            </w:r>
            <w:proofErr w:type="gramEnd"/>
            <w:r w:rsidRPr="00147E19">
              <w:rPr>
                <w:rFonts w:ascii="Times New Roman" w:eastAsia="標楷體" w:hAnsi="Times New Roman" w:cs="Times New Roman"/>
                <w:szCs w:val="24"/>
              </w:rPr>
              <w:t>之全國藥物不良反應通報中心，並副知所屬廠商，藥物不良反應通報專線</w:t>
            </w:r>
            <w:r w:rsidRPr="00147E19">
              <w:rPr>
                <w:rFonts w:ascii="Times New Roman" w:eastAsia="標楷體" w:hAnsi="Times New Roman" w:cs="Times New Roman"/>
                <w:szCs w:val="24"/>
              </w:rPr>
              <w:t>02-2396-0100</w:t>
            </w:r>
            <w:r w:rsidRPr="00147E19">
              <w:rPr>
                <w:rFonts w:ascii="Times New Roman" w:eastAsia="標楷體" w:hAnsi="Times New Roman" w:cs="Times New Roman"/>
                <w:szCs w:val="24"/>
              </w:rPr>
              <w:t>，網站：</w:t>
            </w:r>
            <w:hyperlink r:id="rId9" w:history="1">
              <w:r w:rsidRPr="00147E19">
                <w:rPr>
                  <w:rFonts w:ascii="Times New Roman" w:eastAsia="標楷體" w:hAnsi="Times New Roman" w:cs="Times New Roman"/>
                  <w:color w:val="0000FF"/>
                  <w:szCs w:val="24"/>
                  <w:u w:val="single"/>
                </w:rPr>
                <w:t>https://adr.fda.gov.tw</w:t>
              </w:r>
            </w:hyperlink>
            <w:r w:rsidRPr="00147E19">
              <w:rPr>
                <w:rFonts w:ascii="Times New Roman" w:eastAsia="標楷體" w:hAnsi="Times New Roman" w:cs="Times New Roman"/>
                <w:szCs w:val="24"/>
              </w:rPr>
              <w:t>；衛生福利部食品藥物管理署獲知藥品安全訊息時，</w:t>
            </w:r>
            <w:proofErr w:type="gramStart"/>
            <w:r w:rsidRPr="00147E19">
              <w:rPr>
                <w:rFonts w:ascii="Times New Roman" w:eastAsia="標楷體" w:hAnsi="Times New Roman" w:cs="Times New Roman"/>
                <w:szCs w:val="24"/>
              </w:rPr>
              <w:t>均會蒐集</w:t>
            </w:r>
            <w:proofErr w:type="gramEnd"/>
            <w:r w:rsidRPr="00147E19">
              <w:rPr>
                <w:rFonts w:ascii="Times New Roman" w:eastAsia="標楷體" w:hAnsi="Times New Roman" w:cs="Times New Roman"/>
                <w:szCs w:val="24"/>
              </w:rPr>
              <w:t>彙整相關資料進行評估，並對於新增之藥品風險採取對應之風險管控措施。</w:t>
            </w:r>
          </w:p>
        </w:tc>
      </w:tr>
    </w:tbl>
    <w:p w:rsidR="005251B1" w:rsidRDefault="005251B1" w:rsidP="00707B8C"/>
    <w:p w:rsidR="0025369A" w:rsidRDefault="0025369A">
      <w:pPr>
        <w:widowControl/>
      </w:pPr>
      <w:r>
        <w:br w:type="page"/>
      </w:r>
    </w:p>
    <w:p w:rsidR="005B480E" w:rsidRPr="00037A49" w:rsidRDefault="0025369A" w:rsidP="0025369A">
      <w:pPr>
        <w:jc w:val="center"/>
        <w:rPr>
          <w:rFonts w:ascii="Times New Roman" w:eastAsia="標楷體" w:hAnsi="Times New Roman" w:cs="Times New Roman"/>
          <w:b/>
          <w:sz w:val="28"/>
          <w:szCs w:val="28"/>
        </w:rPr>
      </w:pPr>
      <w:r w:rsidRPr="00037A49">
        <w:rPr>
          <w:rFonts w:ascii="Times New Roman" w:eastAsia="標楷體" w:hAnsi="Times New Roman" w:cs="Times New Roman"/>
          <w:b/>
          <w:sz w:val="28"/>
          <w:szCs w:val="28"/>
        </w:rPr>
        <w:lastRenderedPageBreak/>
        <w:t>含</w:t>
      </w:r>
      <w:r w:rsidRPr="00037A49">
        <w:rPr>
          <w:rFonts w:ascii="Times New Roman" w:eastAsia="標楷體" w:hAnsi="Times New Roman" w:cs="Times New Roman"/>
          <w:b/>
          <w:sz w:val="28"/>
          <w:szCs w:val="28"/>
        </w:rPr>
        <w:t>Fingolimod</w:t>
      </w:r>
      <w:r w:rsidRPr="00037A49">
        <w:rPr>
          <w:rFonts w:ascii="Times New Roman" w:eastAsia="標楷體" w:hAnsi="Times New Roman" w:cs="Times New Roman"/>
          <w:b/>
          <w:sz w:val="28"/>
          <w:szCs w:val="28"/>
        </w:rPr>
        <w:t>成分藥品許可證</w:t>
      </w:r>
    </w:p>
    <w:tbl>
      <w:tblPr>
        <w:tblStyle w:val="a9"/>
        <w:tblW w:w="0" w:type="auto"/>
        <w:tblLook w:val="04A0" w:firstRow="1" w:lastRow="0" w:firstColumn="1" w:lastColumn="0" w:noHBand="0" w:noVBand="1"/>
      </w:tblPr>
      <w:tblGrid>
        <w:gridCol w:w="2660"/>
        <w:gridCol w:w="3118"/>
        <w:gridCol w:w="4024"/>
      </w:tblGrid>
      <w:tr w:rsidR="0025369A" w:rsidRPr="00037A49" w:rsidTr="00037A49">
        <w:tc>
          <w:tcPr>
            <w:tcW w:w="2660" w:type="dxa"/>
          </w:tcPr>
          <w:p w:rsidR="0025369A" w:rsidRPr="00037A49" w:rsidRDefault="0025369A" w:rsidP="0025369A">
            <w:pPr>
              <w:spacing w:line="500" w:lineRule="exact"/>
              <w:jc w:val="center"/>
              <w:rPr>
                <w:rFonts w:ascii="Times New Roman" w:eastAsia="標楷體" w:hAnsi="Times New Roman"/>
                <w:sz w:val="24"/>
                <w:szCs w:val="24"/>
              </w:rPr>
            </w:pPr>
            <w:r w:rsidRPr="00037A49">
              <w:rPr>
                <w:rFonts w:ascii="Times New Roman" w:eastAsia="標楷體" w:hAnsi="Times New Roman"/>
                <w:sz w:val="24"/>
                <w:szCs w:val="24"/>
              </w:rPr>
              <w:t>中文商品名</w:t>
            </w:r>
          </w:p>
        </w:tc>
        <w:tc>
          <w:tcPr>
            <w:tcW w:w="3118" w:type="dxa"/>
          </w:tcPr>
          <w:p w:rsidR="0025369A" w:rsidRPr="00037A49" w:rsidRDefault="0025369A" w:rsidP="0025369A">
            <w:pPr>
              <w:spacing w:line="500" w:lineRule="exact"/>
              <w:jc w:val="center"/>
              <w:rPr>
                <w:rFonts w:ascii="Times New Roman" w:eastAsia="標楷體" w:hAnsi="Times New Roman"/>
                <w:sz w:val="24"/>
                <w:szCs w:val="24"/>
              </w:rPr>
            </w:pPr>
            <w:r w:rsidRPr="00037A49">
              <w:rPr>
                <w:rFonts w:ascii="Times New Roman" w:eastAsia="標楷體" w:hAnsi="Times New Roman"/>
                <w:sz w:val="24"/>
                <w:szCs w:val="24"/>
              </w:rPr>
              <w:t>許可證字號</w:t>
            </w:r>
          </w:p>
        </w:tc>
        <w:tc>
          <w:tcPr>
            <w:tcW w:w="4024" w:type="dxa"/>
          </w:tcPr>
          <w:p w:rsidR="0025369A" w:rsidRPr="00037A49" w:rsidRDefault="0025369A" w:rsidP="0025369A">
            <w:pPr>
              <w:spacing w:line="500" w:lineRule="exact"/>
              <w:jc w:val="center"/>
              <w:rPr>
                <w:rFonts w:ascii="Times New Roman" w:eastAsia="標楷體" w:hAnsi="Times New Roman"/>
                <w:sz w:val="24"/>
                <w:szCs w:val="24"/>
              </w:rPr>
            </w:pPr>
            <w:r w:rsidRPr="00037A49">
              <w:rPr>
                <w:rFonts w:ascii="Times New Roman" w:eastAsia="標楷體" w:hAnsi="Times New Roman"/>
                <w:sz w:val="24"/>
                <w:szCs w:val="24"/>
              </w:rPr>
              <w:t>適應症</w:t>
            </w:r>
          </w:p>
        </w:tc>
      </w:tr>
      <w:tr w:rsidR="0025369A" w:rsidRPr="00037A49" w:rsidTr="00037A49">
        <w:tc>
          <w:tcPr>
            <w:tcW w:w="2660" w:type="dxa"/>
          </w:tcPr>
          <w:p w:rsidR="0025369A" w:rsidRPr="00037A49" w:rsidRDefault="0025369A" w:rsidP="0025369A">
            <w:pPr>
              <w:spacing w:line="500" w:lineRule="exact"/>
              <w:jc w:val="center"/>
              <w:rPr>
                <w:rFonts w:ascii="Times New Roman" w:eastAsia="標楷體" w:hAnsi="Times New Roman"/>
                <w:sz w:val="24"/>
                <w:szCs w:val="24"/>
              </w:rPr>
            </w:pPr>
            <w:r w:rsidRPr="00037A49">
              <w:rPr>
                <w:rFonts w:ascii="Times New Roman" w:eastAsia="標楷體" w:hAnsi="Times New Roman" w:hint="eastAsia"/>
                <w:sz w:val="24"/>
                <w:szCs w:val="24"/>
              </w:rPr>
              <w:t>捷力能膠囊</w:t>
            </w:r>
            <w:r w:rsidRPr="00037A49">
              <w:rPr>
                <w:rFonts w:ascii="Times New Roman" w:eastAsia="標楷體" w:hAnsi="Times New Roman" w:hint="eastAsia"/>
                <w:sz w:val="24"/>
                <w:szCs w:val="24"/>
              </w:rPr>
              <w:t>0.25</w:t>
            </w:r>
            <w:r w:rsidRPr="00037A49">
              <w:rPr>
                <w:rFonts w:ascii="Times New Roman" w:eastAsia="標楷體" w:hAnsi="Times New Roman" w:hint="eastAsia"/>
                <w:sz w:val="24"/>
                <w:szCs w:val="24"/>
              </w:rPr>
              <w:t>毫克</w:t>
            </w:r>
          </w:p>
        </w:tc>
        <w:tc>
          <w:tcPr>
            <w:tcW w:w="3118" w:type="dxa"/>
          </w:tcPr>
          <w:p w:rsidR="0025369A" w:rsidRPr="00037A49" w:rsidRDefault="0025369A" w:rsidP="0025369A">
            <w:pPr>
              <w:spacing w:line="500" w:lineRule="exact"/>
              <w:rPr>
                <w:rFonts w:ascii="Times New Roman" w:eastAsia="標楷體" w:hAnsi="Times New Roman"/>
                <w:sz w:val="24"/>
                <w:szCs w:val="24"/>
              </w:rPr>
            </w:pPr>
            <w:r w:rsidRPr="00037A49">
              <w:rPr>
                <w:rFonts w:ascii="Times New Roman" w:eastAsia="標楷體" w:hAnsi="Times New Roman" w:hint="eastAsia"/>
                <w:sz w:val="24"/>
                <w:szCs w:val="24"/>
              </w:rPr>
              <w:t>衛</w:t>
            </w:r>
            <w:proofErr w:type="gramStart"/>
            <w:r w:rsidRPr="00037A49">
              <w:rPr>
                <w:rFonts w:ascii="Times New Roman" w:eastAsia="標楷體" w:hAnsi="Times New Roman" w:hint="eastAsia"/>
                <w:sz w:val="24"/>
                <w:szCs w:val="24"/>
              </w:rPr>
              <w:t>部罕藥輸字</w:t>
            </w:r>
            <w:proofErr w:type="gramEnd"/>
            <w:r w:rsidRPr="00037A49">
              <w:rPr>
                <w:rFonts w:ascii="Times New Roman" w:eastAsia="標楷體" w:hAnsi="Times New Roman" w:hint="eastAsia"/>
                <w:sz w:val="24"/>
                <w:szCs w:val="24"/>
              </w:rPr>
              <w:t>第</w:t>
            </w:r>
            <w:r w:rsidRPr="00037A49">
              <w:rPr>
                <w:rFonts w:ascii="Times New Roman" w:eastAsia="標楷體" w:hAnsi="Times New Roman" w:hint="eastAsia"/>
                <w:sz w:val="24"/>
                <w:szCs w:val="24"/>
              </w:rPr>
              <w:t>000059</w:t>
            </w:r>
            <w:r w:rsidRPr="00037A49">
              <w:rPr>
                <w:rFonts w:ascii="Times New Roman" w:eastAsia="標楷體" w:hAnsi="Times New Roman" w:hint="eastAsia"/>
                <w:sz w:val="24"/>
                <w:szCs w:val="24"/>
              </w:rPr>
              <w:t>號</w:t>
            </w:r>
          </w:p>
        </w:tc>
        <w:tc>
          <w:tcPr>
            <w:tcW w:w="4024" w:type="dxa"/>
          </w:tcPr>
          <w:p w:rsidR="0025369A" w:rsidRPr="00037A49" w:rsidRDefault="0025369A" w:rsidP="0025369A">
            <w:pPr>
              <w:spacing w:line="500" w:lineRule="exact"/>
              <w:rPr>
                <w:rFonts w:ascii="Times New Roman" w:eastAsia="標楷體" w:hAnsi="Times New Roman"/>
                <w:sz w:val="24"/>
                <w:szCs w:val="24"/>
              </w:rPr>
            </w:pPr>
            <w:r w:rsidRPr="00037A49">
              <w:rPr>
                <w:rFonts w:ascii="Times New Roman" w:eastAsia="標楷體" w:hAnsi="Times New Roman" w:hint="eastAsia"/>
                <w:sz w:val="24"/>
                <w:szCs w:val="24"/>
              </w:rPr>
              <w:t>成人與</w:t>
            </w:r>
            <w:r w:rsidRPr="00037A49">
              <w:rPr>
                <w:rFonts w:ascii="Times New Roman" w:eastAsia="標楷體" w:hAnsi="Times New Roman" w:hint="eastAsia"/>
                <w:sz w:val="24"/>
                <w:szCs w:val="24"/>
              </w:rPr>
              <w:t>10</w:t>
            </w:r>
            <w:r w:rsidRPr="00037A49">
              <w:rPr>
                <w:rFonts w:ascii="Times New Roman" w:eastAsia="標楷體" w:hAnsi="Times New Roman" w:hint="eastAsia"/>
                <w:sz w:val="24"/>
                <w:szCs w:val="24"/>
              </w:rPr>
              <w:t>歲及以上兒童病人之復發型多發性硬化症</w:t>
            </w:r>
            <w:r w:rsidRPr="00037A49">
              <w:rPr>
                <w:rFonts w:ascii="Times New Roman" w:eastAsia="標楷體" w:hAnsi="Times New Roman" w:hint="eastAsia"/>
                <w:sz w:val="24"/>
                <w:szCs w:val="24"/>
              </w:rPr>
              <w:t>(</w:t>
            </w:r>
            <w:r w:rsidRPr="00037A49">
              <w:rPr>
                <w:rFonts w:ascii="Times New Roman" w:eastAsia="標楷體" w:hAnsi="Times New Roman" w:hint="eastAsia"/>
                <w:sz w:val="24"/>
                <w:szCs w:val="24"/>
              </w:rPr>
              <w:t>前一年有一次復發或前兩年有兩次復發者</w:t>
            </w:r>
            <w:r w:rsidRPr="00037A49">
              <w:rPr>
                <w:rFonts w:ascii="Times New Roman" w:eastAsia="標楷體" w:hAnsi="Times New Roman" w:hint="eastAsia"/>
                <w:sz w:val="24"/>
                <w:szCs w:val="24"/>
              </w:rPr>
              <w:t>)</w:t>
            </w:r>
            <w:r w:rsidRPr="00037A49">
              <w:rPr>
                <w:rFonts w:ascii="Times New Roman" w:eastAsia="標楷體" w:hAnsi="Times New Roman" w:hint="eastAsia"/>
                <w:sz w:val="24"/>
                <w:szCs w:val="24"/>
              </w:rPr>
              <w:t>。</w:t>
            </w:r>
          </w:p>
        </w:tc>
      </w:tr>
      <w:tr w:rsidR="0025369A" w:rsidRPr="00037A49" w:rsidTr="00037A49">
        <w:tc>
          <w:tcPr>
            <w:tcW w:w="2660" w:type="dxa"/>
          </w:tcPr>
          <w:p w:rsidR="0025369A" w:rsidRPr="00037A49" w:rsidRDefault="0025369A" w:rsidP="0025369A">
            <w:pPr>
              <w:spacing w:line="500" w:lineRule="exact"/>
              <w:jc w:val="center"/>
              <w:rPr>
                <w:rFonts w:ascii="Times New Roman" w:eastAsia="標楷體" w:hAnsi="Times New Roman"/>
                <w:sz w:val="24"/>
                <w:szCs w:val="24"/>
              </w:rPr>
            </w:pPr>
            <w:r w:rsidRPr="00037A49">
              <w:rPr>
                <w:rFonts w:ascii="Times New Roman" w:eastAsia="標楷體" w:hAnsi="Times New Roman" w:hint="eastAsia"/>
                <w:sz w:val="24"/>
                <w:szCs w:val="24"/>
              </w:rPr>
              <w:t>捷力能膠囊</w:t>
            </w:r>
            <w:r w:rsidRPr="00037A49">
              <w:rPr>
                <w:rFonts w:ascii="Times New Roman" w:eastAsia="標楷體" w:hAnsi="Times New Roman" w:hint="eastAsia"/>
                <w:sz w:val="24"/>
                <w:szCs w:val="24"/>
              </w:rPr>
              <w:t>0.5</w:t>
            </w:r>
            <w:r w:rsidRPr="00037A49">
              <w:rPr>
                <w:rFonts w:ascii="Times New Roman" w:eastAsia="標楷體" w:hAnsi="Times New Roman" w:hint="eastAsia"/>
                <w:sz w:val="24"/>
                <w:szCs w:val="24"/>
              </w:rPr>
              <w:t>毫克</w:t>
            </w:r>
          </w:p>
        </w:tc>
        <w:tc>
          <w:tcPr>
            <w:tcW w:w="3118" w:type="dxa"/>
          </w:tcPr>
          <w:p w:rsidR="0025369A" w:rsidRPr="00037A49" w:rsidRDefault="0025369A" w:rsidP="0025369A">
            <w:pPr>
              <w:spacing w:line="500" w:lineRule="exact"/>
              <w:rPr>
                <w:rFonts w:ascii="Times New Roman" w:eastAsia="標楷體" w:hAnsi="Times New Roman"/>
                <w:sz w:val="24"/>
                <w:szCs w:val="24"/>
              </w:rPr>
            </w:pPr>
            <w:r w:rsidRPr="00037A49">
              <w:rPr>
                <w:rFonts w:ascii="Times New Roman" w:eastAsia="標楷體" w:hAnsi="Times New Roman" w:hint="eastAsia"/>
                <w:sz w:val="24"/>
                <w:szCs w:val="24"/>
              </w:rPr>
              <w:t>衛</w:t>
            </w:r>
            <w:proofErr w:type="gramStart"/>
            <w:r w:rsidRPr="00037A49">
              <w:rPr>
                <w:rFonts w:ascii="Times New Roman" w:eastAsia="標楷體" w:hAnsi="Times New Roman" w:hint="eastAsia"/>
                <w:sz w:val="24"/>
                <w:szCs w:val="24"/>
              </w:rPr>
              <w:t>署罕藥輸字</w:t>
            </w:r>
            <w:proofErr w:type="gramEnd"/>
            <w:r w:rsidRPr="00037A49">
              <w:rPr>
                <w:rFonts w:ascii="Times New Roman" w:eastAsia="標楷體" w:hAnsi="Times New Roman" w:hint="eastAsia"/>
                <w:sz w:val="24"/>
                <w:szCs w:val="24"/>
              </w:rPr>
              <w:t>第</w:t>
            </w:r>
            <w:r w:rsidRPr="00037A49">
              <w:rPr>
                <w:rFonts w:ascii="Times New Roman" w:eastAsia="標楷體" w:hAnsi="Times New Roman" w:hint="eastAsia"/>
                <w:sz w:val="24"/>
                <w:szCs w:val="24"/>
              </w:rPr>
              <w:t>000025</w:t>
            </w:r>
            <w:r w:rsidRPr="00037A49">
              <w:rPr>
                <w:rFonts w:ascii="Times New Roman" w:eastAsia="標楷體" w:hAnsi="Times New Roman" w:hint="eastAsia"/>
                <w:sz w:val="24"/>
                <w:szCs w:val="24"/>
              </w:rPr>
              <w:t>號</w:t>
            </w:r>
          </w:p>
        </w:tc>
        <w:tc>
          <w:tcPr>
            <w:tcW w:w="4024" w:type="dxa"/>
          </w:tcPr>
          <w:p w:rsidR="0025369A" w:rsidRPr="00037A49" w:rsidRDefault="0025369A" w:rsidP="0025369A">
            <w:pPr>
              <w:spacing w:line="500" w:lineRule="exact"/>
              <w:rPr>
                <w:rFonts w:ascii="Times New Roman" w:eastAsia="標楷體" w:hAnsi="Times New Roman"/>
                <w:sz w:val="24"/>
                <w:szCs w:val="24"/>
              </w:rPr>
            </w:pPr>
            <w:r w:rsidRPr="00037A49">
              <w:rPr>
                <w:rFonts w:ascii="Times New Roman" w:eastAsia="標楷體" w:hAnsi="Times New Roman"/>
                <w:sz w:val="24"/>
                <w:szCs w:val="24"/>
              </w:rPr>
              <w:t>成人與</w:t>
            </w:r>
            <w:r w:rsidRPr="00037A49">
              <w:rPr>
                <w:rFonts w:ascii="Times New Roman" w:eastAsia="標楷體" w:hAnsi="Times New Roman"/>
                <w:sz w:val="24"/>
                <w:szCs w:val="24"/>
              </w:rPr>
              <w:t>10</w:t>
            </w:r>
            <w:r w:rsidRPr="00037A49">
              <w:rPr>
                <w:rFonts w:ascii="Times New Roman" w:eastAsia="標楷體" w:hAnsi="Times New Roman"/>
                <w:sz w:val="24"/>
                <w:szCs w:val="24"/>
              </w:rPr>
              <w:t>歲及以上且體重大於</w:t>
            </w:r>
            <w:r w:rsidRPr="00037A49">
              <w:rPr>
                <w:rFonts w:ascii="Times New Roman" w:eastAsia="標楷體" w:hAnsi="Times New Roman"/>
                <w:sz w:val="24"/>
                <w:szCs w:val="24"/>
              </w:rPr>
              <w:t>40</w:t>
            </w:r>
            <w:r w:rsidRPr="00037A49">
              <w:rPr>
                <w:rFonts w:ascii="Times New Roman" w:eastAsia="標楷體" w:hAnsi="Times New Roman"/>
                <w:sz w:val="24"/>
                <w:szCs w:val="24"/>
              </w:rPr>
              <w:t>公斤兒童病人之復發型多發性硬化症（前一年有一次復發或前兩年有兩次復發者）。</w:t>
            </w:r>
          </w:p>
        </w:tc>
      </w:tr>
    </w:tbl>
    <w:p w:rsidR="0025369A" w:rsidRDefault="0025369A" w:rsidP="0025369A">
      <w:pPr>
        <w:jc w:val="center"/>
      </w:pPr>
    </w:p>
    <w:p w:rsidR="0025369A" w:rsidRDefault="0025369A">
      <w:pPr>
        <w:jc w:val="center"/>
      </w:pPr>
    </w:p>
    <w:sectPr w:rsidR="0025369A" w:rsidSect="00147E19">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8A9" w:rsidRDefault="00D508A9" w:rsidP="005251B1">
      <w:r>
        <w:separator/>
      </w:r>
    </w:p>
  </w:endnote>
  <w:endnote w:type="continuationSeparator" w:id="0">
    <w:p w:rsidR="00D508A9" w:rsidRDefault="00D508A9" w:rsidP="0052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8A9" w:rsidRDefault="00D508A9" w:rsidP="005251B1">
      <w:r>
        <w:separator/>
      </w:r>
    </w:p>
  </w:footnote>
  <w:footnote w:type="continuationSeparator" w:id="0">
    <w:p w:rsidR="00D508A9" w:rsidRDefault="00D508A9" w:rsidP="0052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4284"/>
    <w:multiLevelType w:val="hybridMultilevel"/>
    <w:tmpl w:val="0F4AE6CE"/>
    <w:lvl w:ilvl="0" w:tplc="0409001B">
      <w:start w:val="1"/>
      <w:numFmt w:val="lowerRoman"/>
      <w:lvlText w:val="%1."/>
      <w:lvlJc w:val="right"/>
      <w:pPr>
        <w:ind w:left="480" w:hanging="480"/>
      </w:pPr>
    </w:lvl>
    <w:lvl w:ilvl="1" w:tplc="B7445B40">
      <w:start w:val="1"/>
      <w:numFmt w:val="taiwaneseCountingThousand"/>
      <w:lvlText w:val="(%2)"/>
      <w:lvlJc w:val="left"/>
      <w:pPr>
        <w:ind w:left="960" w:hanging="480"/>
      </w:pPr>
      <w:rPr>
        <w:b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C473507"/>
    <w:multiLevelType w:val="hybridMultilevel"/>
    <w:tmpl w:val="FE4A0D8A"/>
    <w:lvl w:ilvl="0" w:tplc="5BD8F43A">
      <w:start w:val="1"/>
      <w:numFmt w:val="decimal"/>
      <w:lvlText w:val="%1."/>
      <w:lvlJc w:val="left"/>
      <w:pPr>
        <w:ind w:left="360" w:hanging="36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8F6CCA"/>
    <w:multiLevelType w:val="hybridMultilevel"/>
    <w:tmpl w:val="9D80CAC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D411971"/>
    <w:multiLevelType w:val="hybridMultilevel"/>
    <w:tmpl w:val="2BFA9758"/>
    <w:lvl w:ilvl="0" w:tplc="7A962CDA">
      <w:start w:val="99"/>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0347EA"/>
    <w:multiLevelType w:val="hybridMultilevel"/>
    <w:tmpl w:val="A0EAA440"/>
    <w:lvl w:ilvl="0" w:tplc="E7D2EEDC">
      <w:start w:val="1"/>
      <w:numFmt w:val="decimal"/>
      <w:lvlText w:val="%1."/>
      <w:lvlJc w:val="left"/>
      <w:pPr>
        <w:ind w:left="480" w:hanging="480"/>
      </w:pPr>
      <w:rPr>
        <w:rFonts w:ascii="Times New Roman" w:hAnsi="Times New Roman" w:cs="Times New Roman" w:hint="default"/>
      </w:rPr>
    </w:lvl>
    <w:lvl w:ilvl="1" w:tplc="6888C674">
      <w:numFmt w:val="bullet"/>
      <w:lvlText w:val=""/>
      <w:lvlJc w:val="left"/>
      <w:pPr>
        <w:ind w:left="840" w:hanging="360"/>
      </w:pPr>
      <w:rPr>
        <w:rFonts w:ascii="Wingdings" w:eastAsia="標楷體" w:hAnsi="Wingdings" w:cs="Times New Roman" w:hint="default"/>
      </w:rPr>
    </w:lvl>
    <w:lvl w:ilvl="2" w:tplc="1B34E9B0">
      <w:numFmt w:val="bullet"/>
      <w:lvlText w:val=""/>
      <w:lvlJc w:val="left"/>
      <w:pPr>
        <w:ind w:left="1320" w:hanging="360"/>
      </w:pPr>
      <w:rPr>
        <w:rFonts w:ascii="Wingdings" w:eastAsia="新細明體" w:hAnsi="Wingdings" w:cs="Times New Roman" w:hint="default"/>
        <w:color w:val="000000"/>
      </w:rPr>
    </w:lvl>
    <w:lvl w:ilvl="3" w:tplc="CE449E7E">
      <w:start w:val="1"/>
      <w:numFmt w:val="decimal"/>
      <w:lvlText w:val="(%4)"/>
      <w:lvlJc w:val="left"/>
      <w:pPr>
        <w:ind w:left="1830" w:hanging="39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084499"/>
    <w:multiLevelType w:val="hybridMultilevel"/>
    <w:tmpl w:val="A0EAA440"/>
    <w:lvl w:ilvl="0" w:tplc="E7D2EEDC">
      <w:start w:val="1"/>
      <w:numFmt w:val="decimal"/>
      <w:lvlText w:val="%1."/>
      <w:lvlJc w:val="left"/>
      <w:pPr>
        <w:ind w:left="480" w:hanging="480"/>
      </w:pPr>
      <w:rPr>
        <w:rFonts w:ascii="Times New Roman" w:hAnsi="Times New Roman" w:cs="Times New Roman" w:hint="default"/>
      </w:rPr>
    </w:lvl>
    <w:lvl w:ilvl="1" w:tplc="6888C674">
      <w:numFmt w:val="bullet"/>
      <w:lvlText w:val=""/>
      <w:lvlJc w:val="left"/>
      <w:pPr>
        <w:ind w:left="840" w:hanging="360"/>
      </w:pPr>
      <w:rPr>
        <w:rFonts w:ascii="Wingdings" w:eastAsia="標楷體" w:hAnsi="Wingdings" w:cs="Times New Roman" w:hint="default"/>
      </w:rPr>
    </w:lvl>
    <w:lvl w:ilvl="2" w:tplc="1B34E9B0">
      <w:numFmt w:val="bullet"/>
      <w:lvlText w:val=""/>
      <w:lvlJc w:val="left"/>
      <w:pPr>
        <w:ind w:left="1320" w:hanging="360"/>
      </w:pPr>
      <w:rPr>
        <w:rFonts w:ascii="Wingdings" w:eastAsia="新細明體" w:hAnsi="Wingdings" w:cs="Times New Roman" w:hint="default"/>
        <w:color w:val="000000"/>
      </w:rPr>
    </w:lvl>
    <w:lvl w:ilvl="3" w:tplc="CE449E7E">
      <w:start w:val="1"/>
      <w:numFmt w:val="decimal"/>
      <w:lvlText w:val="(%4)"/>
      <w:lvlJc w:val="left"/>
      <w:pPr>
        <w:ind w:left="1830" w:hanging="39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980CC9"/>
    <w:multiLevelType w:val="hybridMultilevel"/>
    <w:tmpl w:val="66D43CF6"/>
    <w:lvl w:ilvl="0" w:tplc="F6D280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CC01DE"/>
    <w:multiLevelType w:val="hybridMultilevel"/>
    <w:tmpl w:val="B14E79B0"/>
    <w:lvl w:ilvl="0" w:tplc="0409000F">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C250E7A"/>
    <w:multiLevelType w:val="hybridMultilevel"/>
    <w:tmpl w:val="10CEFA80"/>
    <w:lvl w:ilvl="0" w:tplc="C6C8A32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5A1808C2"/>
    <w:multiLevelType w:val="hybridMultilevel"/>
    <w:tmpl w:val="5072AAA8"/>
    <w:lvl w:ilvl="0" w:tplc="0409000F">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E4252E1"/>
    <w:multiLevelType w:val="hybridMultilevel"/>
    <w:tmpl w:val="98C2E9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61FD7F5C"/>
    <w:multiLevelType w:val="hybridMultilevel"/>
    <w:tmpl w:val="8E14FFCC"/>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6C164377"/>
    <w:multiLevelType w:val="hybridMultilevel"/>
    <w:tmpl w:val="D5CECC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6C005B3"/>
    <w:multiLevelType w:val="hybridMultilevel"/>
    <w:tmpl w:val="C4D48232"/>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3"/>
  </w:num>
  <w:num w:numId="3">
    <w:abstractNumId w:val="13"/>
  </w:num>
  <w:num w:numId="4">
    <w:abstractNumId w:val="12"/>
  </w:num>
  <w:num w:numId="5">
    <w:abstractNumId w:val="9"/>
  </w:num>
  <w:num w:numId="6">
    <w:abstractNumId w:val="7"/>
  </w:num>
  <w:num w:numId="7">
    <w:abstractNumId w:val="10"/>
  </w:num>
  <w:num w:numId="8">
    <w:abstractNumId w:val="5"/>
  </w:num>
  <w:num w:numId="9">
    <w:abstractNumId w:val="2"/>
  </w:num>
  <w:num w:numId="10">
    <w:abstractNumId w:val="8"/>
  </w:num>
  <w:num w:numId="11">
    <w:abstractNumId w:val="11"/>
  </w:num>
  <w:num w:numId="12">
    <w:abstractNumId w:val="1"/>
  </w:num>
  <w:num w:numId="13">
    <w:abstractNumId w:val="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8C"/>
    <w:rsid w:val="00026589"/>
    <w:rsid w:val="0003662F"/>
    <w:rsid w:val="00037A49"/>
    <w:rsid w:val="00057A0C"/>
    <w:rsid w:val="000603E2"/>
    <w:rsid w:val="00071626"/>
    <w:rsid w:val="00095F30"/>
    <w:rsid w:val="000B7352"/>
    <w:rsid w:val="000E2D17"/>
    <w:rsid w:val="000F6321"/>
    <w:rsid w:val="00101A4F"/>
    <w:rsid w:val="00104A56"/>
    <w:rsid w:val="00116D9F"/>
    <w:rsid w:val="00147E19"/>
    <w:rsid w:val="0015444F"/>
    <w:rsid w:val="001A7E96"/>
    <w:rsid w:val="001B3D70"/>
    <w:rsid w:val="001B56EF"/>
    <w:rsid w:val="00211AF1"/>
    <w:rsid w:val="00246FE1"/>
    <w:rsid w:val="002508EE"/>
    <w:rsid w:val="00251494"/>
    <w:rsid w:val="0025369A"/>
    <w:rsid w:val="00270ADD"/>
    <w:rsid w:val="00275D2A"/>
    <w:rsid w:val="002B4E5E"/>
    <w:rsid w:val="002F28F1"/>
    <w:rsid w:val="002F3045"/>
    <w:rsid w:val="003442F6"/>
    <w:rsid w:val="003A6E35"/>
    <w:rsid w:val="004279B3"/>
    <w:rsid w:val="00433FCB"/>
    <w:rsid w:val="00435BE0"/>
    <w:rsid w:val="00451277"/>
    <w:rsid w:val="00451F6F"/>
    <w:rsid w:val="00483FC8"/>
    <w:rsid w:val="004A656F"/>
    <w:rsid w:val="004C320F"/>
    <w:rsid w:val="004E55CE"/>
    <w:rsid w:val="004F2979"/>
    <w:rsid w:val="005251B1"/>
    <w:rsid w:val="00571D69"/>
    <w:rsid w:val="00593F02"/>
    <w:rsid w:val="005B480E"/>
    <w:rsid w:val="005D1B02"/>
    <w:rsid w:val="005D4BC8"/>
    <w:rsid w:val="00614839"/>
    <w:rsid w:val="006159CE"/>
    <w:rsid w:val="006162C0"/>
    <w:rsid w:val="00626FC8"/>
    <w:rsid w:val="00653C65"/>
    <w:rsid w:val="0066267D"/>
    <w:rsid w:val="006742D4"/>
    <w:rsid w:val="00675C71"/>
    <w:rsid w:val="00685573"/>
    <w:rsid w:val="00695B11"/>
    <w:rsid w:val="006D30D6"/>
    <w:rsid w:val="006D3457"/>
    <w:rsid w:val="006E7186"/>
    <w:rsid w:val="006F345B"/>
    <w:rsid w:val="006F7EA6"/>
    <w:rsid w:val="00707B8C"/>
    <w:rsid w:val="00727917"/>
    <w:rsid w:val="00742A71"/>
    <w:rsid w:val="00743520"/>
    <w:rsid w:val="007D6B39"/>
    <w:rsid w:val="007E664C"/>
    <w:rsid w:val="00811E27"/>
    <w:rsid w:val="0082517B"/>
    <w:rsid w:val="00845CB9"/>
    <w:rsid w:val="00860D51"/>
    <w:rsid w:val="008722D1"/>
    <w:rsid w:val="008741A6"/>
    <w:rsid w:val="00874639"/>
    <w:rsid w:val="008764C3"/>
    <w:rsid w:val="0088591D"/>
    <w:rsid w:val="00894069"/>
    <w:rsid w:val="008E2F56"/>
    <w:rsid w:val="00912BB5"/>
    <w:rsid w:val="00933134"/>
    <w:rsid w:val="0093510A"/>
    <w:rsid w:val="0093648F"/>
    <w:rsid w:val="00951631"/>
    <w:rsid w:val="00953359"/>
    <w:rsid w:val="00955726"/>
    <w:rsid w:val="00960836"/>
    <w:rsid w:val="00967D54"/>
    <w:rsid w:val="009A3C50"/>
    <w:rsid w:val="009B226C"/>
    <w:rsid w:val="009E56DE"/>
    <w:rsid w:val="00A10146"/>
    <w:rsid w:val="00A378FD"/>
    <w:rsid w:val="00A5148A"/>
    <w:rsid w:val="00A531DB"/>
    <w:rsid w:val="00A549A6"/>
    <w:rsid w:val="00A5780C"/>
    <w:rsid w:val="00A65C24"/>
    <w:rsid w:val="00A65E47"/>
    <w:rsid w:val="00A67B29"/>
    <w:rsid w:val="00A816AB"/>
    <w:rsid w:val="00A87FD4"/>
    <w:rsid w:val="00A9078F"/>
    <w:rsid w:val="00AA20EB"/>
    <w:rsid w:val="00B201A2"/>
    <w:rsid w:val="00B20943"/>
    <w:rsid w:val="00B44F4D"/>
    <w:rsid w:val="00B54A9D"/>
    <w:rsid w:val="00B65070"/>
    <w:rsid w:val="00B71B62"/>
    <w:rsid w:val="00B92269"/>
    <w:rsid w:val="00BA755B"/>
    <w:rsid w:val="00BB71D0"/>
    <w:rsid w:val="00BF1146"/>
    <w:rsid w:val="00C20B39"/>
    <w:rsid w:val="00C57C97"/>
    <w:rsid w:val="00C80344"/>
    <w:rsid w:val="00C81B7A"/>
    <w:rsid w:val="00CD740D"/>
    <w:rsid w:val="00CF1B9A"/>
    <w:rsid w:val="00D13D8F"/>
    <w:rsid w:val="00D34AED"/>
    <w:rsid w:val="00D37002"/>
    <w:rsid w:val="00D47CDB"/>
    <w:rsid w:val="00D508A9"/>
    <w:rsid w:val="00D51176"/>
    <w:rsid w:val="00D74D79"/>
    <w:rsid w:val="00D97775"/>
    <w:rsid w:val="00DE2A62"/>
    <w:rsid w:val="00DE771D"/>
    <w:rsid w:val="00E61ABF"/>
    <w:rsid w:val="00E84B46"/>
    <w:rsid w:val="00E90C0F"/>
    <w:rsid w:val="00E91835"/>
    <w:rsid w:val="00EB5DA3"/>
    <w:rsid w:val="00EB76FF"/>
    <w:rsid w:val="00EC05DD"/>
    <w:rsid w:val="00ED4CA3"/>
    <w:rsid w:val="00F5312A"/>
    <w:rsid w:val="00F553B3"/>
    <w:rsid w:val="00F60770"/>
    <w:rsid w:val="00F62418"/>
    <w:rsid w:val="00F75B20"/>
    <w:rsid w:val="00F80CE8"/>
    <w:rsid w:val="00F934D7"/>
    <w:rsid w:val="00FB3254"/>
    <w:rsid w:val="00FE501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E4CD2"/>
  <w15:docId w15:val="{D773B86A-805C-41A6-AA1F-8C037DF5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3B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553B3"/>
    <w:rPr>
      <w:rFonts w:asciiTheme="majorHAnsi" w:eastAsiaTheme="majorEastAsia" w:hAnsiTheme="majorHAnsi" w:cstheme="majorBidi"/>
      <w:sz w:val="18"/>
      <w:szCs w:val="18"/>
    </w:rPr>
  </w:style>
  <w:style w:type="paragraph" w:styleId="a5">
    <w:name w:val="header"/>
    <w:basedOn w:val="a"/>
    <w:link w:val="a6"/>
    <w:uiPriority w:val="99"/>
    <w:unhideWhenUsed/>
    <w:rsid w:val="005251B1"/>
    <w:pPr>
      <w:tabs>
        <w:tab w:val="center" w:pos="4153"/>
        <w:tab w:val="right" w:pos="8306"/>
      </w:tabs>
      <w:snapToGrid w:val="0"/>
    </w:pPr>
    <w:rPr>
      <w:sz w:val="20"/>
      <w:szCs w:val="20"/>
    </w:rPr>
  </w:style>
  <w:style w:type="character" w:customStyle="1" w:styleId="a6">
    <w:name w:val="頁首 字元"/>
    <w:basedOn w:val="a0"/>
    <w:link w:val="a5"/>
    <w:uiPriority w:val="99"/>
    <w:rsid w:val="005251B1"/>
    <w:rPr>
      <w:sz w:val="20"/>
      <w:szCs w:val="20"/>
    </w:rPr>
  </w:style>
  <w:style w:type="paragraph" w:styleId="a7">
    <w:name w:val="footer"/>
    <w:basedOn w:val="a"/>
    <w:link w:val="a8"/>
    <w:uiPriority w:val="99"/>
    <w:unhideWhenUsed/>
    <w:rsid w:val="005251B1"/>
    <w:pPr>
      <w:tabs>
        <w:tab w:val="center" w:pos="4153"/>
        <w:tab w:val="right" w:pos="8306"/>
      </w:tabs>
      <w:snapToGrid w:val="0"/>
    </w:pPr>
    <w:rPr>
      <w:sz w:val="20"/>
      <w:szCs w:val="20"/>
    </w:rPr>
  </w:style>
  <w:style w:type="character" w:customStyle="1" w:styleId="a8">
    <w:name w:val="頁尾 字元"/>
    <w:basedOn w:val="a0"/>
    <w:link w:val="a7"/>
    <w:uiPriority w:val="99"/>
    <w:rsid w:val="005251B1"/>
    <w:rPr>
      <w:sz w:val="20"/>
      <w:szCs w:val="20"/>
    </w:rPr>
  </w:style>
  <w:style w:type="table" w:styleId="a9">
    <w:name w:val="Table Grid"/>
    <w:basedOn w:val="a1"/>
    <w:rsid w:val="005251B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6D30D6"/>
  </w:style>
  <w:style w:type="paragraph" w:styleId="aa">
    <w:name w:val="List Paragraph"/>
    <w:basedOn w:val="a"/>
    <w:uiPriority w:val="34"/>
    <w:qFormat/>
    <w:rsid w:val="009516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2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tw/mlms/H0001.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r.f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9815-EE00-48C0-BEA7-0243310D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2942</Characters>
  <Application>Microsoft Office Word</Application>
  <DocSecurity>0</DocSecurity>
  <Lines>24</Lines>
  <Paragraphs>6</Paragraphs>
  <ScaleCrop>false</ScaleCrop>
  <Company>Hewlett-Packard Company</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陳音沅</dc:creator>
  <cp:lastModifiedBy>王麗雅</cp:lastModifiedBy>
  <cp:revision>2</cp:revision>
  <cp:lastPrinted>2020-11-30T08:48:00Z</cp:lastPrinted>
  <dcterms:created xsi:type="dcterms:W3CDTF">2020-12-14T01:00:00Z</dcterms:created>
  <dcterms:modified xsi:type="dcterms:W3CDTF">2020-12-14T01:00:00Z</dcterms:modified>
</cp:coreProperties>
</file>