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136184" w:rsidTr="00812A01">
        <w:trPr>
          <w:trHeight w:val="333"/>
          <w:jc w:val="center"/>
        </w:trPr>
        <w:tc>
          <w:tcPr>
            <w:tcW w:w="9729" w:type="dxa"/>
            <w:gridSpan w:val="2"/>
            <w:tcBorders>
              <w:top w:val="nil"/>
              <w:left w:val="nil"/>
              <w:bottom w:val="nil"/>
              <w:right w:val="nil"/>
            </w:tcBorders>
            <w:vAlign w:val="center"/>
          </w:tcPr>
          <w:p w:rsidR="00211E09" w:rsidRPr="00F5040F" w:rsidRDefault="00467B82" w:rsidP="002411D0">
            <w:pPr>
              <w:pStyle w:val="1"/>
              <w:spacing w:before="0" w:beforeAutospacing="0" w:after="0" w:afterAutospacing="0" w:line="240" w:lineRule="atLeas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血管內皮生長因子</w:t>
            </w:r>
            <w:r w:rsidR="004A31BB">
              <w:rPr>
                <w:rFonts w:ascii="Times New Roman" w:eastAsia="標楷體" w:hAnsi="Times New Roman" w:cs="Times New Roman" w:hint="eastAsia"/>
                <w:sz w:val="36"/>
                <w:szCs w:val="36"/>
              </w:rPr>
              <w:t>路徑</w:t>
            </w:r>
            <w:r>
              <w:rPr>
                <w:rFonts w:ascii="Times New Roman" w:eastAsia="標楷體" w:hAnsi="Times New Roman" w:cs="Times New Roman" w:hint="eastAsia"/>
                <w:sz w:val="36"/>
                <w:szCs w:val="36"/>
              </w:rPr>
              <w:t>抑制劑</w:t>
            </w:r>
            <w:r w:rsidR="002411D0">
              <w:rPr>
                <w:rFonts w:ascii="Times New Roman" w:eastAsia="標楷體" w:hAnsi="Times New Roman" w:cs="Times New Roman" w:hint="eastAsia"/>
                <w:sz w:val="36"/>
                <w:szCs w:val="36"/>
              </w:rPr>
              <w:t>類</w:t>
            </w:r>
            <w:r w:rsidR="003C3491" w:rsidRPr="00F5040F">
              <w:rPr>
                <w:rFonts w:ascii="Times New Roman" w:eastAsia="標楷體" w:hAnsi="Times New Roman" w:cs="Times New Roman"/>
                <w:sz w:val="36"/>
                <w:szCs w:val="36"/>
              </w:rPr>
              <w:t>藥品</w:t>
            </w:r>
            <w:r w:rsidR="003C3491" w:rsidRPr="00F5040F">
              <w:rPr>
                <w:rFonts w:ascii="Times New Roman" w:eastAsia="標楷體" w:hAnsi="標楷體" w:cs="Times New Roman"/>
                <w:sz w:val="36"/>
                <w:szCs w:val="36"/>
              </w:rPr>
              <w:t>安全資訊風險溝通表</w:t>
            </w:r>
          </w:p>
        </w:tc>
      </w:tr>
      <w:tr w:rsidR="00211E09" w:rsidRPr="00136184" w:rsidTr="00812A01">
        <w:trPr>
          <w:trHeight w:val="333"/>
          <w:jc w:val="center"/>
        </w:trPr>
        <w:tc>
          <w:tcPr>
            <w:tcW w:w="9729" w:type="dxa"/>
            <w:gridSpan w:val="2"/>
            <w:tcBorders>
              <w:top w:val="nil"/>
              <w:left w:val="nil"/>
              <w:right w:val="nil"/>
            </w:tcBorders>
            <w:vAlign w:val="center"/>
          </w:tcPr>
          <w:p w:rsidR="00211E09" w:rsidRPr="00A27030" w:rsidRDefault="00211E09" w:rsidP="00467B82">
            <w:pPr>
              <w:pStyle w:val="1"/>
              <w:spacing w:before="0" w:beforeAutospacing="0" w:after="0" w:afterAutospacing="0" w:line="240" w:lineRule="atLeast"/>
              <w:jc w:val="right"/>
              <w:rPr>
                <w:rFonts w:ascii="Times New Roman" w:eastAsia="標楷體" w:hAnsi="Times New Roman" w:cs="Times New Roman"/>
                <w:b w:val="0"/>
                <w:sz w:val="24"/>
                <w:szCs w:val="24"/>
              </w:rPr>
            </w:pPr>
            <w:r w:rsidRPr="00A27030">
              <w:rPr>
                <w:rFonts w:ascii="Times New Roman" w:eastAsia="標楷體" w:hAnsi="Times New Roman" w:cs="Times New Roman"/>
                <w:sz w:val="24"/>
                <w:szCs w:val="24"/>
              </w:rPr>
              <w:t xml:space="preserve">  </w:t>
            </w:r>
            <w:r w:rsidR="00B32C39" w:rsidRPr="00B32C39">
              <w:rPr>
                <w:rFonts w:ascii="Times New Roman" w:eastAsia="標楷體" w:hAnsi="Times New Roman" w:cs="Times New Roman" w:hint="eastAsia"/>
                <w:b w:val="0"/>
                <w:sz w:val="24"/>
                <w:szCs w:val="24"/>
              </w:rPr>
              <w:t>製表</w:t>
            </w:r>
            <w:r w:rsidRPr="00A27030">
              <w:rPr>
                <w:rFonts w:ascii="Times New Roman" w:eastAsia="標楷體" w:hAnsi="標楷體" w:cs="Times New Roman" w:hint="eastAsia"/>
                <w:b w:val="0"/>
                <w:sz w:val="24"/>
                <w:szCs w:val="24"/>
              </w:rPr>
              <w:t>日期：</w:t>
            </w:r>
            <w:r w:rsidR="005C01FA">
              <w:rPr>
                <w:rFonts w:ascii="Times New Roman" w:eastAsia="標楷體" w:hAnsi="標楷體" w:cs="Times New Roman" w:hint="eastAsia"/>
                <w:b w:val="0"/>
                <w:sz w:val="24"/>
                <w:szCs w:val="24"/>
              </w:rPr>
              <w:t>109/8</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藥品成分</w:t>
            </w:r>
          </w:p>
        </w:tc>
        <w:tc>
          <w:tcPr>
            <w:tcW w:w="7316" w:type="dxa"/>
          </w:tcPr>
          <w:p w:rsidR="00366A78" w:rsidRPr="009C62C5" w:rsidRDefault="00366A78" w:rsidP="00E70EF8">
            <w:pPr>
              <w:pStyle w:val="Default"/>
              <w:rPr>
                <w:rFonts w:ascii="Times New Roman" w:eastAsia="標楷體" w:cs="Times New Roman"/>
                <w:bCs/>
                <w:color w:val="000000" w:themeColor="text1"/>
                <w:kern w:val="36"/>
                <w:lang w:bidi="hi-IN"/>
              </w:rPr>
            </w:pPr>
            <w:r>
              <w:rPr>
                <w:rFonts w:ascii="Times New Roman" w:eastAsia="標楷體" w:cs="Times New Roman" w:hint="eastAsia"/>
                <w:bCs/>
                <w:color w:val="000000" w:themeColor="text1"/>
                <w:kern w:val="36"/>
                <w:lang w:bidi="hi-IN"/>
              </w:rPr>
              <w:t>血管內皮生長因子</w:t>
            </w:r>
            <w:r w:rsidR="004A31BB">
              <w:rPr>
                <w:rFonts w:ascii="Times New Roman" w:eastAsia="標楷體" w:cs="Times New Roman" w:hint="eastAsia"/>
                <w:bCs/>
                <w:color w:val="000000" w:themeColor="text1"/>
                <w:kern w:val="36"/>
                <w:lang w:bidi="hi-IN"/>
              </w:rPr>
              <w:t>路徑</w:t>
            </w:r>
            <w:r w:rsidRPr="00481B25">
              <w:rPr>
                <w:rFonts w:ascii="Times New Roman" w:eastAsia="標楷體" w:cs="Times New Roman" w:hint="eastAsia"/>
                <w:bCs/>
                <w:color w:val="000000" w:themeColor="text1"/>
                <w:kern w:val="36"/>
                <w:lang w:bidi="hi-IN"/>
              </w:rPr>
              <w:t>抑制</w:t>
            </w:r>
            <w:r w:rsidRPr="00481B25">
              <w:rPr>
                <w:rFonts w:ascii="Times New Roman" w:eastAsia="標楷體" w:cs="Times New Roman"/>
                <w:bCs/>
                <w:color w:val="000000" w:themeColor="text1"/>
                <w:kern w:val="36"/>
                <w:lang w:bidi="hi-IN"/>
              </w:rPr>
              <w:t>劑</w:t>
            </w:r>
            <w:r w:rsidRPr="00481B25">
              <w:rPr>
                <w:rFonts w:ascii="Times New Roman" w:eastAsia="標楷體" w:cs="Times New Roman"/>
                <w:bCs/>
                <w:kern w:val="36"/>
                <w:lang w:bidi="hi-IN"/>
              </w:rPr>
              <w:t>（</w:t>
            </w:r>
            <w:r w:rsidRPr="00481B25">
              <w:rPr>
                <w:rFonts w:ascii="Times New Roman" w:eastAsia="標楷體" w:cs="Times New Roman"/>
                <w:bCs/>
                <w:kern w:val="36"/>
                <w:lang w:bidi="hi-IN"/>
              </w:rPr>
              <w:t>vascular endothelial growth factor (VEGF) pathway inhibitors</w:t>
            </w:r>
            <w:r w:rsidRPr="00481B25">
              <w:rPr>
                <w:rFonts w:ascii="Times New Roman" w:eastAsia="標楷體" w:cs="Times New Roman"/>
                <w:bCs/>
                <w:kern w:val="36"/>
                <w:lang w:bidi="hi-IN"/>
              </w:rPr>
              <w:t>）</w:t>
            </w:r>
            <w:r w:rsidRPr="00481B25">
              <w:rPr>
                <w:rFonts w:ascii="Times New Roman" w:eastAsia="標楷體" w:cs="Times New Roman"/>
                <w:bCs/>
                <w:color w:val="000000" w:themeColor="text1"/>
                <w:kern w:val="36"/>
                <w:lang w:bidi="hi-IN"/>
              </w:rPr>
              <w:t>，包含</w:t>
            </w:r>
            <w:r w:rsidR="004A31BB" w:rsidRPr="00481B25">
              <w:rPr>
                <w:rFonts w:ascii="Times New Roman" w:eastAsia="標楷體" w:cs="Times New Roman"/>
                <w:bCs/>
                <w:color w:val="000000" w:themeColor="text1"/>
                <w:kern w:val="36"/>
                <w:lang w:bidi="hi-IN"/>
              </w:rPr>
              <w:t>bevacizumab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vandetanib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cabozantinib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ramucirumab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tivozanib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ponatinib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axitinib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lenvatinib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sorafenib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nintedanib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regorafenib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sunitinib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pazopanib</w:t>
            </w:r>
            <w:r w:rsidR="004A31BB" w:rsidRPr="00481B25">
              <w:rPr>
                <w:rFonts w:ascii="Times New Roman" w:eastAsia="標楷體" w:cs="Times New Roman"/>
                <w:bCs/>
                <w:color w:val="000000" w:themeColor="text1"/>
                <w:kern w:val="36"/>
                <w:lang w:bidi="hi-IN"/>
              </w:rPr>
              <w:t>、</w:t>
            </w:r>
            <w:r w:rsidR="004A31BB" w:rsidRPr="00481B25">
              <w:rPr>
                <w:rFonts w:ascii="Times New Roman" w:eastAsia="標楷體" w:cs="Times New Roman"/>
                <w:bCs/>
                <w:color w:val="000000" w:themeColor="text1"/>
                <w:kern w:val="36"/>
                <w:lang w:bidi="hi-IN"/>
              </w:rPr>
              <w:t>aflibercept</w:t>
            </w:r>
            <w:r w:rsidR="004A31BB" w:rsidRPr="00481B25">
              <w:rPr>
                <w:rFonts w:ascii="Times New Roman" w:eastAsia="標楷體" w:cs="Times New Roman"/>
                <w:bCs/>
                <w:color w:val="000000" w:themeColor="text1"/>
                <w:kern w:val="36"/>
                <w:lang w:bidi="hi-IN"/>
              </w:rPr>
              <w:t>。</w:t>
            </w:r>
          </w:p>
        </w:tc>
      </w:tr>
      <w:tr w:rsidR="00211E09" w:rsidRPr="00136184" w:rsidTr="00CB2324">
        <w:trPr>
          <w:trHeight w:val="333"/>
          <w:jc w:val="center"/>
        </w:trPr>
        <w:tc>
          <w:tcPr>
            <w:tcW w:w="2413" w:type="dxa"/>
            <w:vAlign w:val="center"/>
          </w:tcPr>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藥品名稱</w:t>
            </w:r>
          </w:p>
          <w:p w:rsidR="00211E09" w:rsidRPr="00A27030" w:rsidRDefault="00211E09" w:rsidP="009424B6">
            <w:pPr>
              <w:jc w:val="center"/>
              <w:rPr>
                <w:rFonts w:ascii="Times New Roman" w:eastAsia="標楷體" w:hAnsi="Times New Roman"/>
              </w:rPr>
            </w:pPr>
            <w:r w:rsidRPr="00A27030">
              <w:rPr>
                <w:rFonts w:ascii="Times New Roman" w:eastAsia="標楷體" w:hAnsi="標楷體" w:hint="eastAsia"/>
              </w:rPr>
              <w:t>及許可證字號</w:t>
            </w:r>
          </w:p>
        </w:tc>
        <w:tc>
          <w:tcPr>
            <w:tcW w:w="7316" w:type="dxa"/>
          </w:tcPr>
          <w:p w:rsidR="0017168C" w:rsidRPr="00481B25" w:rsidRDefault="0017168C" w:rsidP="00270A1F">
            <w:pPr>
              <w:pStyle w:val="1"/>
              <w:spacing w:before="0" w:beforeAutospacing="0" w:after="0" w:afterAutospacing="0" w:line="240" w:lineRule="atLeast"/>
              <w:rPr>
                <w:rFonts w:ascii="Times New Roman" w:eastAsia="標楷體" w:hAnsi="Times New Roman" w:cs="Times New Roman"/>
                <w:b w:val="0"/>
                <w:color w:val="000000" w:themeColor="text1"/>
                <w:sz w:val="24"/>
                <w:szCs w:val="24"/>
              </w:rPr>
            </w:pPr>
            <w:r w:rsidRPr="002F199C">
              <w:rPr>
                <w:rFonts w:ascii="Times New Roman" w:eastAsia="標楷體" w:hAnsi="標楷體" w:cs="Times New Roman"/>
                <w:b w:val="0"/>
                <w:bCs w:val="0"/>
                <w:color w:val="000000" w:themeColor="text1"/>
                <w:sz w:val="24"/>
                <w:szCs w:val="24"/>
              </w:rPr>
              <w:t>衛生</w:t>
            </w:r>
            <w:r w:rsidRPr="009C62C5">
              <w:rPr>
                <w:rFonts w:ascii="Times New Roman" w:eastAsia="標楷體" w:hAnsi="Times New Roman" w:cs="Times New Roman"/>
                <w:b w:val="0"/>
                <w:color w:val="000000" w:themeColor="text1"/>
                <w:sz w:val="24"/>
                <w:szCs w:val="24"/>
              </w:rPr>
              <w:t>福利部核准</w:t>
            </w:r>
            <w:r w:rsidRPr="00481B25">
              <w:rPr>
                <w:rFonts w:ascii="Times New Roman" w:eastAsia="標楷體" w:hAnsi="Times New Roman" w:cs="Times New Roman"/>
                <w:b w:val="0"/>
                <w:color w:val="000000" w:themeColor="text1"/>
                <w:sz w:val="24"/>
                <w:szCs w:val="24"/>
              </w:rPr>
              <w:t>含</w:t>
            </w:r>
            <w:r w:rsidR="00481B25" w:rsidRPr="00481B25">
              <w:rPr>
                <w:rFonts w:ascii="Times New Roman" w:eastAsia="標楷體" w:hAnsi="Times New Roman" w:cs="Times New Roman"/>
                <w:b w:val="0"/>
                <w:bCs w:val="0"/>
                <w:color w:val="000000" w:themeColor="text1"/>
                <w:sz w:val="24"/>
                <w:szCs w:val="24"/>
              </w:rPr>
              <w:t>bevacizumab</w:t>
            </w:r>
            <w:r w:rsidRPr="00481B25">
              <w:rPr>
                <w:rFonts w:ascii="Times New Roman" w:eastAsia="標楷體" w:hAnsi="Times New Roman" w:cs="Times New Roman" w:hint="eastAsia"/>
                <w:b w:val="0"/>
                <w:color w:val="000000" w:themeColor="text1"/>
                <w:sz w:val="24"/>
                <w:szCs w:val="24"/>
              </w:rPr>
              <w:t>成分</w:t>
            </w:r>
            <w:r w:rsidRPr="009C62C5">
              <w:rPr>
                <w:rFonts w:ascii="Times New Roman" w:eastAsia="標楷體" w:hAnsi="Times New Roman" w:cs="Times New Roman"/>
                <w:b w:val="0"/>
                <w:color w:val="000000" w:themeColor="text1"/>
                <w:sz w:val="24"/>
                <w:szCs w:val="24"/>
              </w:rPr>
              <w:t>藥品製劑許可證共</w:t>
            </w:r>
            <w:r w:rsidR="00793032" w:rsidRPr="00481B25">
              <w:rPr>
                <w:rFonts w:ascii="Times New Roman" w:eastAsia="標楷體" w:hAnsi="Times New Roman" w:cs="Times New Roman" w:hint="eastAsia"/>
                <w:b w:val="0"/>
                <w:color w:val="000000" w:themeColor="text1"/>
                <w:sz w:val="24"/>
                <w:szCs w:val="24"/>
                <w:u w:val="single"/>
              </w:rPr>
              <w:t>2</w:t>
            </w:r>
            <w:r w:rsidRPr="009C62C5">
              <w:rPr>
                <w:rFonts w:ascii="Times New Roman" w:eastAsia="標楷體" w:hAnsi="Times New Roman" w:cs="Times New Roman"/>
                <w:b w:val="0"/>
                <w:color w:val="000000" w:themeColor="text1"/>
                <w:sz w:val="24"/>
                <w:szCs w:val="24"/>
              </w:rPr>
              <w:t>張</w:t>
            </w:r>
            <w:r w:rsidR="00481B25">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color w:val="000000" w:themeColor="text1"/>
                <w:sz w:val="24"/>
                <w:szCs w:val="24"/>
              </w:rPr>
              <w:t>vandetanib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2</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color w:val="000000" w:themeColor="text1"/>
                <w:sz w:val="24"/>
                <w:szCs w:val="24"/>
              </w:rPr>
              <w:t>cabozantinib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3</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color w:val="000000" w:themeColor="text1"/>
                <w:sz w:val="24"/>
                <w:szCs w:val="24"/>
              </w:rPr>
              <w:t>ramucirumab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1</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sz w:val="24"/>
                <w:szCs w:val="24"/>
              </w:rPr>
              <w:t>ponatinib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6945FA" w:rsidRPr="006945FA">
              <w:rPr>
                <w:rFonts w:ascii="Times New Roman" w:eastAsia="標楷體" w:hAnsi="Times New Roman" w:cs="Times New Roman" w:hint="eastAsia"/>
                <w:b w:val="0"/>
                <w:color w:val="000000" w:themeColor="text1"/>
                <w:sz w:val="24"/>
                <w:szCs w:val="24"/>
                <w:u w:val="single"/>
              </w:rPr>
              <w:t>2</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color w:val="000000" w:themeColor="text1"/>
                <w:sz w:val="24"/>
                <w:szCs w:val="24"/>
              </w:rPr>
              <w:t>axitinib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2</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481B25" w:rsidRPr="006945FA">
              <w:rPr>
                <w:rFonts w:ascii="Times New Roman" w:eastAsia="標楷體" w:hAnsi="Times New Roman" w:cs="Times New Roman"/>
                <w:b w:val="0"/>
                <w:bCs w:val="0"/>
                <w:color w:val="000000" w:themeColor="text1"/>
                <w:sz w:val="24"/>
                <w:szCs w:val="24"/>
              </w:rPr>
              <w:t>lenvatinib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2</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sorafenib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6945FA" w:rsidRPr="006945FA">
              <w:rPr>
                <w:rFonts w:ascii="Times New Roman" w:eastAsia="標楷體" w:hAnsi="Times New Roman" w:cs="Times New Roman" w:hint="eastAsia"/>
                <w:b w:val="0"/>
                <w:color w:val="000000" w:themeColor="text1"/>
                <w:sz w:val="24"/>
                <w:szCs w:val="24"/>
                <w:u w:val="single"/>
              </w:rPr>
              <w:t>1</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nintedanib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481B25" w:rsidRPr="006945FA">
              <w:rPr>
                <w:rFonts w:ascii="Times New Roman" w:eastAsia="標楷體" w:hAnsi="Times New Roman" w:cs="Times New Roman" w:hint="eastAsia"/>
                <w:b w:val="0"/>
                <w:color w:val="000000" w:themeColor="text1"/>
                <w:sz w:val="24"/>
                <w:szCs w:val="24"/>
                <w:u w:val="single"/>
              </w:rPr>
              <w:t>2</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regorafenib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6945FA" w:rsidRPr="006945FA">
              <w:rPr>
                <w:rFonts w:ascii="Times New Roman" w:eastAsia="標楷體" w:hAnsi="Times New Roman" w:cs="Times New Roman" w:hint="eastAsia"/>
                <w:b w:val="0"/>
                <w:color w:val="000000" w:themeColor="text1"/>
                <w:sz w:val="24"/>
                <w:szCs w:val="24"/>
                <w:u w:val="single"/>
              </w:rPr>
              <w:t>1</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sunitinib</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6945FA" w:rsidRPr="006945FA">
              <w:rPr>
                <w:rFonts w:ascii="Times New Roman" w:eastAsia="標楷體" w:hAnsi="Times New Roman" w:cs="Times New Roman" w:hint="eastAsia"/>
                <w:b w:val="0"/>
                <w:color w:val="000000" w:themeColor="text1"/>
                <w:sz w:val="24"/>
                <w:szCs w:val="24"/>
                <w:u w:val="single"/>
              </w:rPr>
              <w:t>3</w:t>
            </w:r>
            <w:r w:rsidR="00481B25" w:rsidRPr="006945FA">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8C2A7F">
              <w:rPr>
                <w:rFonts w:ascii="Times New Roman" w:eastAsia="標楷體" w:hAnsi="Times New Roman" w:cs="Times New Roman"/>
                <w:b w:val="0"/>
                <w:color w:val="000000" w:themeColor="text1"/>
                <w:sz w:val="24"/>
                <w:szCs w:val="24"/>
              </w:rPr>
              <w:t>含</w:t>
            </w:r>
            <w:r w:rsidR="006945FA" w:rsidRPr="008C2A7F">
              <w:rPr>
                <w:rFonts w:ascii="Times New Roman" w:eastAsia="標楷體" w:hAnsi="Times New Roman" w:cs="Times New Roman"/>
                <w:b w:val="0"/>
                <w:bCs w:val="0"/>
                <w:sz w:val="24"/>
                <w:szCs w:val="24"/>
              </w:rPr>
              <w:t>pazopanib</w:t>
            </w:r>
            <w:r w:rsidR="00481B25" w:rsidRPr="008C2A7F">
              <w:rPr>
                <w:rFonts w:ascii="Times New Roman" w:eastAsia="標楷體" w:hAnsi="Times New Roman" w:cs="Times New Roman" w:hint="eastAsia"/>
                <w:b w:val="0"/>
                <w:color w:val="000000" w:themeColor="text1"/>
                <w:sz w:val="24"/>
                <w:szCs w:val="24"/>
              </w:rPr>
              <w:t>成分</w:t>
            </w:r>
            <w:r w:rsidR="00481B25" w:rsidRPr="008C2A7F">
              <w:rPr>
                <w:rFonts w:ascii="Times New Roman" w:eastAsia="標楷體" w:hAnsi="Times New Roman" w:cs="Times New Roman"/>
                <w:b w:val="0"/>
                <w:color w:val="000000" w:themeColor="text1"/>
                <w:sz w:val="24"/>
                <w:szCs w:val="24"/>
              </w:rPr>
              <w:t>藥品製劑許可證共</w:t>
            </w:r>
            <w:r w:rsidR="00173D51">
              <w:rPr>
                <w:rFonts w:ascii="Times New Roman" w:eastAsia="標楷體" w:hAnsi="Times New Roman" w:cs="Times New Roman" w:hint="eastAsia"/>
                <w:b w:val="0"/>
                <w:color w:val="000000" w:themeColor="text1"/>
                <w:sz w:val="24"/>
                <w:szCs w:val="24"/>
                <w:u w:val="single"/>
              </w:rPr>
              <w:t>2</w:t>
            </w:r>
            <w:r w:rsidR="00481B25" w:rsidRPr="008C2A7F">
              <w:rPr>
                <w:rFonts w:ascii="Times New Roman" w:eastAsia="標楷體" w:hAnsi="Times New Roman" w:cs="Times New Roman"/>
                <w:b w:val="0"/>
                <w:color w:val="000000" w:themeColor="text1"/>
                <w:sz w:val="24"/>
                <w:szCs w:val="24"/>
              </w:rPr>
              <w:t>張</w:t>
            </w:r>
            <w:r w:rsidR="00481B25" w:rsidRPr="006945FA">
              <w:rPr>
                <w:rFonts w:ascii="Times New Roman" w:eastAsia="標楷體" w:hAnsi="Times New Roman" w:cs="Times New Roman" w:hint="eastAsia"/>
                <w:b w:val="0"/>
                <w:color w:val="000000" w:themeColor="text1"/>
                <w:sz w:val="24"/>
                <w:szCs w:val="24"/>
              </w:rPr>
              <w:t>；</w:t>
            </w:r>
            <w:r w:rsidR="00481B25"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aflibercept</w:t>
            </w:r>
            <w:r w:rsidR="00481B25" w:rsidRPr="006945FA">
              <w:rPr>
                <w:rFonts w:ascii="Times New Roman" w:eastAsia="標楷體" w:hAnsi="Times New Roman" w:cs="Times New Roman" w:hint="eastAsia"/>
                <w:b w:val="0"/>
                <w:color w:val="000000" w:themeColor="text1"/>
                <w:sz w:val="24"/>
                <w:szCs w:val="24"/>
              </w:rPr>
              <w:t>成分</w:t>
            </w:r>
            <w:r w:rsidR="00481B25" w:rsidRPr="006945FA">
              <w:rPr>
                <w:rFonts w:ascii="Times New Roman" w:eastAsia="標楷體" w:hAnsi="Times New Roman" w:cs="Times New Roman"/>
                <w:b w:val="0"/>
                <w:color w:val="000000" w:themeColor="text1"/>
                <w:sz w:val="24"/>
                <w:szCs w:val="24"/>
              </w:rPr>
              <w:t>藥品製劑許可證共</w:t>
            </w:r>
            <w:r w:rsidR="006945FA" w:rsidRPr="006945FA">
              <w:rPr>
                <w:rFonts w:ascii="Times New Roman" w:eastAsia="標楷體" w:hAnsi="Times New Roman" w:cs="Times New Roman" w:hint="eastAsia"/>
                <w:b w:val="0"/>
                <w:color w:val="000000" w:themeColor="text1"/>
                <w:sz w:val="24"/>
                <w:szCs w:val="24"/>
                <w:u w:val="single"/>
              </w:rPr>
              <w:t>1</w:t>
            </w:r>
            <w:r w:rsidR="00481B25" w:rsidRPr="006945FA">
              <w:rPr>
                <w:rFonts w:ascii="Times New Roman" w:eastAsia="標楷體" w:hAnsi="Times New Roman" w:cs="Times New Roman"/>
                <w:b w:val="0"/>
                <w:color w:val="000000" w:themeColor="text1"/>
                <w:sz w:val="24"/>
                <w:szCs w:val="24"/>
              </w:rPr>
              <w:t>張</w:t>
            </w:r>
            <w:r w:rsidR="006945FA" w:rsidRPr="006945FA">
              <w:rPr>
                <w:rFonts w:ascii="Times New Roman" w:eastAsia="標楷體" w:hAnsi="Times New Roman" w:cs="Times New Roman"/>
                <w:b w:val="0"/>
                <w:sz w:val="24"/>
                <w:szCs w:val="24"/>
              </w:rPr>
              <w:t>（</w:t>
            </w:r>
            <w:r w:rsidR="006945FA">
              <w:rPr>
                <w:rFonts w:ascii="Times New Roman" w:eastAsia="標楷體" w:hAnsi="Times New Roman" w:cs="Times New Roman" w:hint="eastAsia"/>
                <w:b w:val="0"/>
                <w:bCs w:val="0"/>
                <w:color w:val="000000"/>
                <w:sz w:val="24"/>
                <w:szCs w:val="24"/>
              </w:rPr>
              <w:t>不包含玻璃體</w:t>
            </w:r>
            <w:r w:rsidR="007B7B70">
              <w:rPr>
                <w:rFonts w:ascii="Times New Roman" w:eastAsia="標楷體" w:hAnsi="Times New Roman" w:cs="Times New Roman" w:hint="eastAsia"/>
                <w:b w:val="0"/>
                <w:bCs w:val="0"/>
                <w:color w:val="000000"/>
                <w:sz w:val="24"/>
                <w:szCs w:val="24"/>
              </w:rPr>
              <w:t>內</w:t>
            </w:r>
            <w:r w:rsidR="006945FA">
              <w:rPr>
                <w:rFonts w:ascii="Times New Roman" w:eastAsia="標楷體" w:hAnsi="Times New Roman" w:cs="Times New Roman" w:hint="eastAsia"/>
                <w:b w:val="0"/>
                <w:bCs w:val="0"/>
                <w:color w:val="000000"/>
                <w:sz w:val="24"/>
                <w:szCs w:val="24"/>
              </w:rPr>
              <w:t>注射劑</w:t>
            </w:r>
            <w:r w:rsidR="006945FA" w:rsidRPr="006945FA">
              <w:rPr>
                <w:rFonts w:ascii="Times New Roman" w:eastAsia="標楷體" w:hAnsi="Times New Roman" w:cs="Times New Roman"/>
                <w:b w:val="0"/>
                <w:sz w:val="24"/>
                <w:szCs w:val="24"/>
              </w:rPr>
              <w:t>）</w:t>
            </w:r>
            <w:r w:rsidR="006945FA" w:rsidRPr="006945FA">
              <w:rPr>
                <w:rFonts w:ascii="Times New Roman" w:eastAsia="標楷體" w:hAnsi="Times New Roman" w:cs="Times New Roman" w:hint="eastAsia"/>
                <w:b w:val="0"/>
                <w:color w:val="000000" w:themeColor="text1"/>
                <w:sz w:val="24"/>
                <w:szCs w:val="24"/>
              </w:rPr>
              <w:t>；</w:t>
            </w:r>
            <w:r w:rsidR="006945FA">
              <w:rPr>
                <w:rFonts w:ascii="Times New Roman" w:eastAsia="標楷體" w:hAnsi="Times New Roman" w:cs="Times New Roman" w:hint="eastAsia"/>
                <w:b w:val="0"/>
                <w:color w:val="000000" w:themeColor="text1"/>
                <w:sz w:val="24"/>
                <w:szCs w:val="24"/>
              </w:rPr>
              <w:t>國內未核准</w:t>
            </w:r>
            <w:r w:rsidR="006945FA" w:rsidRPr="006945FA">
              <w:rPr>
                <w:rFonts w:ascii="Times New Roman" w:eastAsia="標楷體" w:hAnsi="Times New Roman" w:cs="Times New Roman"/>
                <w:b w:val="0"/>
                <w:color w:val="000000" w:themeColor="text1"/>
                <w:sz w:val="24"/>
                <w:szCs w:val="24"/>
              </w:rPr>
              <w:t>含</w:t>
            </w:r>
            <w:r w:rsidR="006945FA" w:rsidRPr="006945FA">
              <w:rPr>
                <w:rFonts w:ascii="Times New Roman" w:eastAsia="標楷體" w:hAnsi="Times New Roman" w:cs="Times New Roman"/>
                <w:b w:val="0"/>
                <w:bCs w:val="0"/>
                <w:color w:val="000000" w:themeColor="text1"/>
                <w:sz w:val="24"/>
                <w:szCs w:val="24"/>
              </w:rPr>
              <w:t>tivozanib</w:t>
            </w:r>
            <w:r w:rsidR="006945FA" w:rsidRPr="006945FA">
              <w:rPr>
                <w:rFonts w:ascii="Times New Roman" w:eastAsia="標楷體" w:hAnsi="Times New Roman" w:cs="Times New Roman" w:hint="eastAsia"/>
                <w:b w:val="0"/>
                <w:color w:val="000000" w:themeColor="text1"/>
                <w:sz w:val="24"/>
                <w:szCs w:val="24"/>
              </w:rPr>
              <w:t>成分</w:t>
            </w:r>
            <w:r w:rsidR="006945FA" w:rsidRPr="006945FA">
              <w:rPr>
                <w:rFonts w:ascii="Times New Roman" w:eastAsia="標楷體" w:hAnsi="Times New Roman" w:cs="Times New Roman"/>
                <w:b w:val="0"/>
                <w:color w:val="000000" w:themeColor="text1"/>
                <w:sz w:val="24"/>
                <w:szCs w:val="24"/>
              </w:rPr>
              <w:t>藥品製劑許可證</w:t>
            </w:r>
            <w:r w:rsidRPr="006945FA">
              <w:rPr>
                <w:rFonts w:ascii="Times New Roman" w:eastAsia="標楷體" w:hAnsi="標楷體" w:cs="Times New Roman"/>
                <w:b w:val="0"/>
                <w:bCs w:val="0"/>
                <w:color w:val="000000" w:themeColor="text1"/>
                <w:sz w:val="24"/>
                <w:szCs w:val="24"/>
              </w:rPr>
              <w:t>。</w:t>
            </w:r>
          </w:p>
          <w:p w:rsidR="00BF31DF" w:rsidRPr="0071206D" w:rsidRDefault="0017168C" w:rsidP="0017168C">
            <w:pPr>
              <w:pStyle w:val="1"/>
              <w:spacing w:before="0" w:beforeAutospacing="0" w:after="0" w:afterAutospacing="0" w:line="240" w:lineRule="atLeast"/>
              <w:jc w:val="both"/>
              <w:rPr>
                <w:rFonts w:ascii="Times New Roman" w:eastAsia="標楷體" w:hAnsi="標楷體" w:cs="Times New Roman"/>
                <w:b w:val="0"/>
                <w:bCs w:val="0"/>
                <w:color w:val="000000" w:themeColor="text1"/>
                <w:sz w:val="24"/>
                <w:szCs w:val="24"/>
              </w:rPr>
            </w:pPr>
            <w:r w:rsidRPr="0017168C">
              <w:rPr>
                <w:rFonts w:ascii="Times New Roman" w:eastAsia="標楷體" w:hAnsi="標楷體" w:cs="Times New Roman" w:hint="eastAsia"/>
                <w:b w:val="0"/>
                <w:bCs w:val="0"/>
                <w:color w:val="000000" w:themeColor="text1"/>
                <w:sz w:val="24"/>
                <w:szCs w:val="24"/>
              </w:rPr>
              <w:t>查詢</w:t>
            </w:r>
            <w:r w:rsidRPr="0017168C">
              <w:rPr>
                <w:rFonts w:ascii="Times New Roman" w:eastAsia="標楷體" w:hAnsi="標楷體" w:cs="Times New Roman"/>
                <w:b w:val="0"/>
                <w:bCs w:val="0"/>
                <w:color w:val="000000" w:themeColor="text1"/>
                <w:sz w:val="24"/>
                <w:szCs w:val="24"/>
              </w:rPr>
              <w:t>網址</w:t>
            </w:r>
            <w:r w:rsidRPr="002F199C">
              <w:rPr>
                <w:rFonts w:ascii="Times New Roman" w:eastAsia="標楷體" w:hAnsi="標楷體" w:cs="Times New Roman"/>
                <w:b w:val="0"/>
                <w:bCs w:val="0"/>
                <w:color w:val="000000" w:themeColor="text1"/>
                <w:sz w:val="24"/>
                <w:szCs w:val="24"/>
              </w:rPr>
              <w:t>：</w:t>
            </w:r>
            <w:hyperlink r:id="rId8" w:history="1">
              <w:r w:rsidR="0057091D" w:rsidRPr="0057091D">
                <w:rPr>
                  <w:rStyle w:val="ab"/>
                  <w:rFonts w:ascii="Times New Roman" w:hAnsi="Times New Roman"/>
                  <w:b w:val="0"/>
                  <w:sz w:val="24"/>
                  <w:szCs w:val="24"/>
                </w:rPr>
                <w:t>https://www.fda.gov.tw/mlms/H0001.aspx</w:t>
              </w:r>
            </w:hyperlink>
          </w:p>
        </w:tc>
      </w:tr>
      <w:tr w:rsidR="00211E09" w:rsidRPr="00136184" w:rsidTr="00CB2324">
        <w:trPr>
          <w:trHeight w:val="333"/>
          <w:jc w:val="center"/>
        </w:trPr>
        <w:tc>
          <w:tcPr>
            <w:tcW w:w="2413" w:type="dxa"/>
            <w:vAlign w:val="center"/>
          </w:tcPr>
          <w:p w:rsidR="00211E09" w:rsidRPr="00621754" w:rsidRDefault="00211E09" w:rsidP="009424B6">
            <w:pPr>
              <w:jc w:val="center"/>
              <w:rPr>
                <w:rFonts w:ascii="Times New Roman" w:eastAsia="標楷體" w:hAnsi="Times New Roman"/>
              </w:rPr>
            </w:pPr>
            <w:r w:rsidRPr="00621754">
              <w:rPr>
                <w:rFonts w:ascii="Times New Roman" w:eastAsia="標楷體" w:hAnsi="標楷體" w:hint="eastAsia"/>
                <w:color w:val="000000"/>
              </w:rPr>
              <w:t>適應症</w:t>
            </w:r>
          </w:p>
        </w:tc>
        <w:tc>
          <w:tcPr>
            <w:tcW w:w="7316" w:type="dxa"/>
          </w:tcPr>
          <w:p w:rsidR="007002BD" w:rsidRPr="00716808" w:rsidRDefault="008447DA" w:rsidP="004F302F">
            <w:pPr>
              <w:tabs>
                <w:tab w:val="left" w:pos="1010"/>
              </w:tabs>
              <w:spacing w:before="100" w:beforeAutospacing="1" w:after="100" w:afterAutospacing="1"/>
              <w:jc w:val="both"/>
              <w:rPr>
                <w:rFonts w:ascii="Times New Roman" w:eastAsia="標楷體" w:hAnsi="Times New Roman"/>
                <w:color w:val="000000" w:themeColor="text1"/>
                <w:kern w:val="0"/>
                <w:szCs w:val="24"/>
              </w:rPr>
            </w:pPr>
            <w:r>
              <w:rPr>
                <w:rFonts w:ascii="標楷體" w:eastAsia="標楷體" w:hAnsi="標楷體" w:hint="eastAsia"/>
                <w:color w:val="000000" w:themeColor="text1"/>
                <w:szCs w:val="24"/>
                <w:shd w:val="clear" w:color="auto" w:fill="FFFFFF"/>
              </w:rPr>
              <w:t>詳見附件</w:t>
            </w:r>
          </w:p>
        </w:tc>
      </w:tr>
      <w:tr w:rsidR="00211E09" w:rsidRPr="00136184" w:rsidTr="00CB2324">
        <w:trPr>
          <w:jc w:val="center"/>
        </w:trPr>
        <w:tc>
          <w:tcPr>
            <w:tcW w:w="2413" w:type="dxa"/>
            <w:vAlign w:val="center"/>
          </w:tcPr>
          <w:p w:rsidR="00211E09" w:rsidRDefault="00211E09" w:rsidP="009424B6">
            <w:pPr>
              <w:jc w:val="center"/>
              <w:rPr>
                <w:rFonts w:ascii="Times New Roman" w:eastAsia="標楷體" w:hAnsi="標楷體"/>
              </w:rPr>
            </w:pPr>
            <w:r>
              <w:rPr>
                <w:rFonts w:ascii="Times New Roman" w:eastAsia="標楷體" w:hAnsi="標楷體" w:hint="eastAsia"/>
              </w:rPr>
              <w:t>藥理作用機轉</w:t>
            </w:r>
          </w:p>
        </w:tc>
        <w:tc>
          <w:tcPr>
            <w:tcW w:w="7316" w:type="dxa"/>
          </w:tcPr>
          <w:p w:rsidR="0007146D" w:rsidRPr="004D29F3" w:rsidRDefault="008447DA" w:rsidP="00784D01">
            <w:pPr>
              <w:tabs>
                <w:tab w:val="left" w:pos="1010"/>
              </w:tabs>
              <w:spacing w:before="100" w:beforeAutospacing="1" w:after="100" w:afterAutospacing="1"/>
              <w:jc w:val="both"/>
              <w:rPr>
                <w:rFonts w:ascii="Times New Roman" w:eastAsia="標楷體" w:hAnsi="Times New Roman"/>
                <w:bCs/>
                <w:color w:val="000000" w:themeColor="text1"/>
                <w:kern w:val="36"/>
                <w:szCs w:val="24"/>
                <w:lang w:bidi="hi-IN"/>
              </w:rPr>
            </w:pPr>
            <w:r>
              <w:rPr>
                <w:rFonts w:ascii="Times New Roman" w:eastAsia="標楷體" w:hAnsi="Times New Roman" w:hint="eastAsia"/>
                <w:color w:val="000000"/>
                <w:kern w:val="0"/>
                <w:szCs w:val="24"/>
                <w:lang w:bidi="hi-IN"/>
              </w:rPr>
              <w:t>詳見附件</w:t>
            </w:r>
          </w:p>
        </w:tc>
      </w:tr>
      <w:tr w:rsidR="00211E09" w:rsidRPr="00136184" w:rsidTr="00CB2324">
        <w:trPr>
          <w:trHeight w:val="896"/>
          <w:jc w:val="center"/>
        </w:trPr>
        <w:tc>
          <w:tcPr>
            <w:tcW w:w="2413" w:type="dxa"/>
            <w:vAlign w:val="center"/>
          </w:tcPr>
          <w:p w:rsidR="00211E09" w:rsidRPr="00B54D09" w:rsidRDefault="00211E09" w:rsidP="009424B6">
            <w:pPr>
              <w:jc w:val="center"/>
              <w:rPr>
                <w:rFonts w:ascii="Times New Roman" w:eastAsia="標楷體" w:hAnsi="Times New Roman"/>
                <w:color w:val="000000"/>
              </w:rPr>
            </w:pPr>
            <w:r w:rsidRPr="00B54D09">
              <w:rPr>
                <w:rFonts w:ascii="Times New Roman" w:eastAsia="標楷體" w:hAnsi="Times New Roman"/>
                <w:color w:val="000000"/>
              </w:rPr>
              <w:t>訊息緣由</w:t>
            </w:r>
          </w:p>
        </w:tc>
        <w:tc>
          <w:tcPr>
            <w:tcW w:w="7316" w:type="dxa"/>
          </w:tcPr>
          <w:p w:rsidR="00B54D09" w:rsidRPr="006426FD" w:rsidRDefault="0057680C" w:rsidP="00FB74A3">
            <w:pPr>
              <w:widowControl/>
              <w:shd w:val="clear" w:color="auto" w:fill="FFFFFF"/>
              <w:jc w:val="both"/>
              <w:rPr>
                <w:rFonts w:ascii="Times New Roman" w:eastAsia="標楷體" w:hAnsi="Times New Roman"/>
                <w:bCs/>
                <w:color w:val="000000" w:themeColor="text1"/>
                <w:kern w:val="36"/>
                <w:szCs w:val="24"/>
                <w:lang w:bidi="hi-IN"/>
              </w:rPr>
            </w:pPr>
            <w:r>
              <w:rPr>
                <w:rFonts w:ascii="Times New Roman" w:eastAsia="標楷體" w:hAnsi="Times New Roman"/>
                <w:color w:val="000000"/>
                <w:kern w:val="0"/>
                <w:szCs w:val="24"/>
              </w:rPr>
              <w:t>2020/</w:t>
            </w:r>
            <w:r>
              <w:rPr>
                <w:rFonts w:ascii="Times New Roman" w:eastAsia="標楷體" w:hAnsi="Times New Roman" w:hint="eastAsia"/>
                <w:color w:val="000000"/>
                <w:kern w:val="0"/>
                <w:szCs w:val="24"/>
              </w:rPr>
              <w:t>7</w:t>
            </w:r>
            <w:r>
              <w:rPr>
                <w:rFonts w:ascii="Times New Roman" w:eastAsia="標楷體" w:hAnsi="Times New Roman"/>
                <w:color w:val="000000"/>
                <w:kern w:val="0"/>
                <w:szCs w:val="24"/>
              </w:rPr>
              <w:t>/</w:t>
            </w:r>
            <w:r>
              <w:rPr>
                <w:rFonts w:ascii="Times New Roman" w:eastAsia="標楷體" w:hAnsi="Times New Roman" w:hint="eastAsia"/>
                <w:color w:val="000000"/>
                <w:kern w:val="0"/>
                <w:szCs w:val="24"/>
              </w:rPr>
              <w:t>31</w:t>
            </w:r>
            <w:r w:rsidR="002411D0">
              <w:rPr>
                <w:rFonts w:ascii="Times New Roman" w:eastAsia="標楷體" w:hAnsi="Times New Roman" w:hint="eastAsia"/>
                <w:color w:val="000000"/>
                <w:kern w:val="0"/>
                <w:szCs w:val="24"/>
              </w:rPr>
              <w:t>英國醫藥品管理局</w:t>
            </w:r>
            <w:r w:rsidR="002557E3" w:rsidRPr="00B65426">
              <w:rPr>
                <w:rFonts w:ascii="Times New Roman" w:eastAsia="標楷體" w:hAnsi="Times New Roman" w:hint="eastAsia"/>
                <w:bCs/>
                <w:kern w:val="36"/>
                <w:lang w:bidi="hi-IN"/>
              </w:rPr>
              <w:t>（</w:t>
            </w:r>
            <w:r w:rsidR="002411D0">
              <w:rPr>
                <w:rFonts w:ascii="Times New Roman" w:eastAsia="標楷體" w:hAnsi="Times New Roman" w:hint="eastAsia"/>
                <w:bCs/>
                <w:kern w:val="36"/>
                <w:lang w:bidi="hi-IN"/>
              </w:rPr>
              <w:t>Medi</w:t>
            </w:r>
            <w:r w:rsidR="002411D0">
              <w:rPr>
                <w:rFonts w:ascii="Times New Roman" w:eastAsia="標楷體" w:hAnsi="Times New Roman"/>
                <w:bCs/>
                <w:kern w:val="36"/>
                <w:lang w:bidi="hi-IN"/>
              </w:rPr>
              <w:t>cines and Healthcare products Regulatory Agency</w:t>
            </w:r>
            <w:r w:rsidR="002411D0">
              <w:rPr>
                <w:rFonts w:ascii="Times New Roman" w:eastAsia="標楷體" w:hAnsi="Times New Roman" w:hint="eastAsia"/>
                <w:bCs/>
                <w:kern w:val="36"/>
                <w:lang w:bidi="hi-IN"/>
              </w:rPr>
              <w:t>，</w:t>
            </w:r>
            <w:r w:rsidR="002411D0">
              <w:rPr>
                <w:rFonts w:ascii="Times New Roman" w:eastAsia="標楷體" w:hAnsi="Times New Roman" w:hint="eastAsia"/>
                <w:bCs/>
                <w:kern w:val="36"/>
                <w:lang w:bidi="hi-IN"/>
              </w:rPr>
              <w:t>MHRA</w:t>
            </w:r>
            <w:r w:rsidR="002557E3" w:rsidRPr="00B65426">
              <w:rPr>
                <w:rFonts w:ascii="Times New Roman" w:eastAsia="標楷體" w:hAnsi="Times New Roman" w:hint="eastAsia"/>
                <w:bCs/>
                <w:kern w:val="36"/>
                <w:lang w:bidi="hi-IN"/>
              </w:rPr>
              <w:t>）</w:t>
            </w:r>
            <w:r w:rsidR="00005C49" w:rsidRPr="00B54D09">
              <w:rPr>
                <w:rFonts w:ascii="Times New Roman" w:eastAsia="標楷體" w:hAnsi="Times New Roman"/>
                <w:color w:val="000000"/>
                <w:kern w:val="0"/>
                <w:szCs w:val="24"/>
              </w:rPr>
              <w:t>發布</w:t>
            </w:r>
            <w:r w:rsidR="006426FD">
              <w:rPr>
                <w:rFonts w:ascii="Times New Roman" w:eastAsia="標楷體" w:hAnsi="Times New Roman" w:hint="eastAsia"/>
                <w:color w:val="000000"/>
                <w:kern w:val="0"/>
                <w:szCs w:val="24"/>
              </w:rPr>
              <w:t>關於</w:t>
            </w:r>
            <w:r w:rsidR="00DD1AEF">
              <w:rPr>
                <w:rFonts w:ascii="Times New Roman" w:eastAsia="標楷體" w:hAnsi="Times New Roman" w:hint="eastAsia"/>
                <w:color w:val="000000"/>
                <w:kern w:val="0"/>
                <w:szCs w:val="24"/>
              </w:rPr>
              <w:t>全身性投予</w:t>
            </w:r>
            <w:r w:rsidR="00DD1AEF">
              <w:rPr>
                <w:rFonts w:ascii="Times New Roman" w:eastAsia="標楷體" w:hint="eastAsia"/>
                <w:bCs/>
                <w:color w:val="000000" w:themeColor="text1"/>
                <w:kern w:val="36"/>
                <w:lang w:bidi="hi-IN"/>
              </w:rPr>
              <w:t>血管內皮生長因子路徑</w:t>
            </w:r>
            <w:r w:rsidR="00DD1AEF" w:rsidRPr="00481B25">
              <w:rPr>
                <w:rFonts w:ascii="Times New Roman" w:eastAsia="標楷體" w:hint="eastAsia"/>
                <w:bCs/>
                <w:color w:val="000000" w:themeColor="text1"/>
                <w:kern w:val="36"/>
                <w:lang w:bidi="hi-IN"/>
              </w:rPr>
              <w:t>抑制</w:t>
            </w:r>
            <w:r w:rsidR="00DD1AEF" w:rsidRPr="00481B25">
              <w:rPr>
                <w:rFonts w:ascii="Times New Roman" w:eastAsia="標楷體" w:hAnsi="Times New Roman"/>
                <w:bCs/>
                <w:color w:val="000000" w:themeColor="text1"/>
                <w:kern w:val="36"/>
                <w:szCs w:val="24"/>
                <w:lang w:bidi="hi-IN"/>
              </w:rPr>
              <w:t>劑</w:t>
            </w:r>
            <w:r w:rsidR="00DD1AEF">
              <w:rPr>
                <w:rFonts w:ascii="Times New Roman" w:eastAsia="標楷體" w:hAnsi="Times New Roman" w:hint="eastAsia"/>
                <w:bCs/>
                <w:color w:val="000000" w:themeColor="text1"/>
                <w:kern w:val="36"/>
                <w:szCs w:val="24"/>
                <w:lang w:bidi="hi-IN"/>
              </w:rPr>
              <w:t>類藥品</w:t>
            </w:r>
            <w:r w:rsidR="006426FD">
              <w:rPr>
                <w:rFonts w:ascii="Times New Roman" w:eastAsia="標楷體" w:hAnsi="Times New Roman" w:hint="eastAsia"/>
                <w:bCs/>
                <w:color w:val="000000" w:themeColor="text1"/>
                <w:kern w:val="36"/>
                <w:szCs w:val="24"/>
                <w:lang w:bidi="hi-IN"/>
              </w:rPr>
              <w:t>與</w:t>
            </w:r>
            <w:r w:rsidR="009A6329">
              <w:rPr>
                <w:rFonts w:ascii="Times New Roman" w:eastAsia="標楷體" w:hAnsi="Times New Roman" w:hint="eastAsia"/>
                <w:bCs/>
                <w:color w:val="000000" w:themeColor="text1"/>
                <w:kern w:val="36"/>
                <w:szCs w:val="24"/>
                <w:lang w:bidi="hi-IN"/>
              </w:rPr>
              <w:t>動脈瘤和動脈剝離風險</w:t>
            </w:r>
            <w:r w:rsidR="006426FD">
              <w:rPr>
                <w:rFonts w:ascii="Times New Roman" w:eastAsia="標楷體" w:hAnsi="Times New Roman" w:hint="eastAsia"/>
                <w:bCs/>
                <w:color w:val="000000" w:themeColor="text1"/>
                <w:kern w:val="36"/>
                <w:szCs w:val="24"/>
                <w:lang w:bidi="hi-IN"/>
              </w:rPr>
              <w:t>之</w:t>
            </w:r>
            <w:r w:rsidR="006426FD">
              <w:rPr>
                <w:rFonts w:ascii="Times New Roman" w:eastAsia="標楷體" w:hAnsi="Times New Roman" w:hint="eastAsia"/>
                <w:color w:val="000000"/>
                <w:kern w:val="0"/>
                <w:szCs w:val="24"/>
              </w:rPr>
              <w:t>安全性資訊</w:t>
            </w:r>
            <w:r w:rsidR="000C2AF2">
              <w:rPr>
                <w:rFonts w:ascii="Times New Roman" w:eastAsia="標楷體" w:hAnsi="Times New Roman" w:hint="eastAsia"/>
                <w:color w:val="000000"/>
                <w:kern w:val="0"/>
                <w:szCs w:val="24"/>
              </w:rPr>
              <w:t>。</w:t>
            </w:r>
          </w:p>
          <w:p w:rsidR="00B54D09" w:rsidRPr="00B54D09" w:rsidRDefault="00DC4039" w:rsidP="00B54D09">
            <w:pPr>
              <w:widowControl/>
              <w:shd w:val="clear" w:color="auto" w:fill="FFFFFF"/>
              <w:rPr>
                <w:rFonts w:ascii="Times New Roman" w:hAnsi="Times New Roman"/>
                <w:color w:val="222222"/>
                <w:kern w:val="0"/>
                <w:szCs w:val="24"/>
              </w:rPr>
            </w:pPr>
            <w:r w:rsidRPr="00B54D09">
              <w:rPr>
                <w:rFonts w:ascii="Times New Roman" w:eastAsia="標楷體" w:hAnsi="Times New Roman"/>
                <w:color w:val="000000"/>
                <w:kern w:val="0"/>
                <w:szCs w:val="24"/>
              </w:rPr>
              <w:t>網址：</w:t>
            </w:r>
            <w:hyperlink r:id="rId9" w:history="1">
              <w:r w:rsidR="002411D0" w:rsidRPr="002411D0">
                <w:rPr>
                  <w:rStyle w:val="ab"/>
                  <w:rFonts w:ascii="Times New Roman" w:hAnsi="Times New Roman"/>
                </w:rPr>
                <w:t>https://www.gov.uk/drug-safety-update/systemically-administered-vegf-pathway-inhibitors-risk-of-aneurysm-and-artery-dissection</w:t>
              </w:r>
            </w:hyperlink>
          </w:p>
        </w:tc>
      </w:tr>
      <w:tr w:rsidR="004E33E0" w:rsidRPr="00136184" w:rsidTr="00CB2324">
        <w:trPr>
          <w:trHeight w:val="896"/>
          <w:jc w:val="center"/>
        </w:trPr>
        <w:tc>
          <w:tcPr>
            <w:tcW w:w="2413" w:type="dxa"/>
            <w:vAlign w:val="center"/>
          </w:tcPr>
          <w:p w:rsidR="004E33E0" w:rsidRPr="00C859E3" w:rsidRDefault="004E33E0" w:rsidP="009424B6">
            <w:pPr>
              <w:jc w:val="center"/>
              <w:rPr>
                <w:rFonts w:ascii="Times New Roman" w:eastAsia="標楷體" w:hAnsi="標楷體"/>
                <w:color w:val="000000"/>
              </w:rPr>
            </w:pPr>
            <w:r w:rsidRPr="00B57AEE">
              <w:rPr>
                <w:rFonts w:ascii="Times New Roman" w:eastAsia="標楷體" w:hAnsi="標楷體" w:hint="eastAsia"/>
              </w:rPr>
              <w:t>藥品安全有關資訊分析及描述</w:t>
            </w:r>
          </w:p>
        </w:tc>
        <w:tc>
          <w:tcPr>
            <w:tcW w:w="7316" w:type="dxa"/>
          </w:tcPr>
          <w:p w:rsidR="008F6F03" w:rsidRDefault="008F6F03" w:rsidP="003555E5">
            <w:pPr>
              <w:pStyle w:val="a9"/>
              <w:widowControl/>
              <w:numPr>
                <w:ilvl w:val="0"/>
                <w:numId w:val="1"/>
              </w:numPr>
              <w:shd w:val="clear" w:color="auto" w:fill="FFFFFF"/>
              <w:ind w:leftChars="0"/>
              <w:jc w:val="both"/>
              <w:rPr>
                <w:rFonts w:ascii="Times New Roman" w:eastAsia="標楷體" w:hAnsi="Times New Roman"/>
                <w:szCs w:val="24"/>
              </w:rPr>
            </w:pPr>
            <w:r>
              <w:rPr>
                <w:rFonts w:ascii="Times New Roman" w:eastAsia="標楷體" w:hAnsi="Times New Roman" w:hint="eastAsia"/>
                <w:szCs w:val="24"/>
              </w:rPr>
              <w:t>近期一份歐盟的評估報告指出，所有全身性</w:t>
            </w:r>
            <w:r>
              <w:rPr>
                <w:rFonts w:ascii="Times New Roman" w:eastAsia="標楷體" w:hAnsi="Times New Roman" w:hint="eastAsia"/>
                <w:color w:val="000000"/>
                <w:kern w:val="0"/>
                <w:szCs w:val="24"/>
              </w:rPr>
              <w:t>投予之</w:t>
            </w:r>
            <w:r>
              <w:rPr>
                <w:rFonts w:ascii="Times New Roman" w:eastAsia="標楷體" w:hint="eastAsia"/>
                <w:bCs/>
                <w:color w:val="000000" w:themeColor="text1"/>
                <w:kern w:val="36"/>
                <w:lang w:bidi="hi-IN"/>
              </w:rPr>
              <w:t>血管內皮生長因子路徑</w:t>
            </w:r>
            <w:r w:rsidRPr="00481B25">
              <w:rPr>
                <w:rFonts w:ascii="Times New Roman" w:eastAsia="標楷體" w:hint="eastAsia"/>
                <w:bCs/>
                <w:color w:val="000000" w:themeColor="text1"/>
                <w:kern w:val="36"/>
                <w:lang w:bidi="hi-IN"/>
              </w:rPr>
              <w:t>抑制</w:t>
            </w:r>
            <w:r w:rsidRPr="00481B25">
              <w:rPr>
                <w:rFonts w:ascii="Times New Roman" w:eastAsia="標楷體" w:hAnsi="Times New Roman"/>
                <w:bCs/>
                <w:color w:val="000000" w:themeColor="text1"/>
                <w:kern w:val="36"/>
                <w:szCs w:val="24"/>
                <w:lang w:bidi="hi-IN"/>
              </w:rPr>
              <w:t>劑</w:t>
            </w:r>
            <w:r>
              <w:rPr>
                <w:rFonts w:ascii="Times New Roman" w:eastAsia="標楷體" w:hAnsi="Times New Roman" w:hint="eastAsia"/>
                <w:bCs/>
                <w:color w:val="000000" w:themeColor="text1"/>
                <w:kern w:val="36"/>
                <w:szCs w:val="24"/>
                <w:lang w:bidi="hi-IN"/>
              </w:rPr>
              <w:t>類藥品可能</w:t>
            </w:r>
            <w:r w:rsidR="00097560">
              <w:rPr>
                <w:rFonts w:ascii="Times New Roman" w:eastAsia="標楷體" w:hAnsi="Times New Roman" w:hint="eastAsia"/>
                <w:bCs/>
                <w:color w:val="000000" w:themeColor="text1"/>
                <w:kern w:val="36"/>
                <w:szCs w:val="24"/>
                <w:lang w:bidi="hi-IN"/>
              </w:rPr>
              <w:t>具促進</w:t>
            </w:r>
            <w:r>
              <w:rPr>
                <w:rFonts w:ascii="Times New Roman" w:eastAsia="標楷體" w:hAnsi="Times New Roman" w:hint="eastAsia"/>
                <w:bCs/>
                <w:color w:val="000000" w:themeColor="text1"/>
                <w:kern w:val="36"/>
                <w:szCs w:val="24"/>
                <w:lang w:bidi="hi-IN"/>
              </w:rPr>
              <w:t>動脈瘤</w:t>
            </w:r>
            <w:r w:rsidR="00097560">
              <w:rPr>
                <w:rFonts w:ascii="Times New Roman" w:eastAsia="標楷體" w:hAnsi="Times New Roman" w:hint="eastAsia"/>
                <w:bCs/>
                <w:color w:val="000000" w:themeColor="text1"/>
                <w:kern w:val="36"/>
                <w:szCs w:val="24"/>
                <w:lang w:bidi="hi-IN"/>
              </w:rPr>
              <w:t>生成</w:t>
            </w:r>
            <w:r>
              <w:rPr>
                <w:rFonts w:ascii="Times New Roman" w:eastAsia="標楷體" w:hAnsi="Times New Roman" w:hint="eastAsia"/>
                <w:bCs/>
                <w:color w:val="000000" w:themeColor="text1"/>
                <w:kern w:val="36"/>
                <w:szCs w:val="24"/>
                <w:lang w:bidi="hi-IN"/>
              </w:rPr>
              <w:t>和動脈剝離</w:t>
            </w:r>
            <w:r w:rsidR="006426FD">
              <w:rPr>
                <w:rFonts w:ascii="Times New Roman" w:eastAsia="標楷體" w:hAnsi="Times New Roman" w:hint="eastAsia"/>
                <w:bCs/>
                <w:color w:val="000000" w:themeColor="text1"/>
                <w:kern w:val="36"/>
                <w:szCs w:val="24"/>
                <w:lang w:bidi="hi-IN"/>
              </w:rPr>
              <w:t>之</w:t>
            </w:r>
            <w:r w:rsidR="00097560">
              <w:rPr>
                <w:rFonts w:ascii="Times New Roman" w:eastAsia="標楷體" w:hAnsi="Times New Roman" w:hint="eastAsia"/>
                <w:bCs/>
                <w:color w:val="000000" w:themeColor="text1"/>
                <w:kern w:val="36"/>
                <w:szCs w:val="24"/>
                <w:lang w:bidi="hi-IN"/>
              </w:rPr>
              <w:t>風險，此類藥品包含</w:t>
            </w:r>
            <w:r w:rsidR="00097560" w:rsidRPr="00481B25">
              <w:rPr>
                <w:rFonts w:ascii="Times New Roman" w:eastAsia="標楷體" w:hAnsi="Times New Roman"/>
                <w:bCs/>
                <w:color w:val="000000" w:themeColor="text1"/>
                <w:kern w:val="36"/>
                <w:szCs w:val="24"/>
                <w:lang w:bidi="hi-IN"/>
              </w:rPr>
              <w:t>bevacizumab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vandetanib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cabozantinib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ramucirumab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tivozanib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ponatinib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axitinib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lenvatinib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sorafenib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nintedanib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regorafenib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sunitinib</w:t>
            </w:r>
            <w:r w:rsidR="00097560" w:rsidRPr="00481B25">
              <w:rPr>
                <w:rFonts w:ascii="Times New Roman" w:eastAsia="標楷體" w:hAnsi="Times New Roman"/>
                <w:bCs/>
                <w:color w:val="000000" w:themeColor="text1"/>
                <w:kern w:val="36"/>
                <w:szCs w:val="24"/>
                <w:lang w:bidi="hi-IN"/>
              </w:rPr>
              <w:t>、</w:t>
            </w:r>
            <w:r w:rsidR="00097560" w:rsidRPr="00481B25">
              <w:rPr>
                <w:rFonts w:ascii="Times New Roman" w:eastAsia="標楷體" w:hAnsi="Times New Roman"/>
                <w:bCs/>
                <w:color w:val="000000" w:themeColor="text1"/>
                <w:kern w:val="36"/>
                <w:szCs w:val="24"/>
                <w:lang w:bidi="hi-IN"/>
              </w:rPr>
              <w:t>pazopanib</w:t>
            </w:r>
            <w:r w:rsidR="00097560">
              <w:rPr>
                <w:rFonts w:ascii="Times New Roman" w:eastAsia="標楷體" w:hAnsi="Times New Roman" w:hint="eastAsia"/>
                <w:bCs/>
                <w:color w:val="000000" w:themeColor="text1"/>
                <w:kern w:val="36"/>
                <w:szCs w:val="24"/>
                <w:lang w:bidi="hi-IN"/>
              </w:rPr>
              <w:t>及</w:t>
            </w:r>
            <w:r w:rsidR="00097560" w:rsidRPr="00481B25">
              <w:rPr>
                <w:rFonts w:ascii="Times New Roman" w:eastAsia="標楷體" w:hAnsi="Times New Roman"/>
                <w:bCs/>
                <w:color w:val="000000" w:themeColor="text1"/>
                <w:kern w:val="36"/>
                <w:szCs w:val="24"/>
                <w:lang w:bidi="hi-IN"/>
              </w:rPr>
              <w:t>aflibercept</w:t>
            </w:r>
            <w:r w:rsidR="00097560">
              <w:rPr>
                <w:rFonts w:ascii="Times New Roman" w:eastAsia="標楷體" w:hAnsi="Times New Roman" w:hint="eastAsia"/>
                <w:bCs/>
                <w:color w:val="000000" w:themeColor="text1"/>
                <w:kern w:val="36"/>
                <w:szCs w:val="24"/>
                <w:lang w:bidi="hi-IN"/>
              </w:rPr>
              <w:t>。</w:t>
            </w:r>
            <w:r w:rsidR="006426FD">
              <w:rPr>
                <w:rFonts w:ascii="Times New Roman" w:eastAsia="標楷體" w:hAnsi="Times New Roman" w:hint="eastAsia"/>
                <w:bCs/>
                <w:color w:val="000000" w:themeColor="text1"/>
                <w:kern w:val="36"/>
                <w:szCs w:val="24"/>
                <w:lang w:bidi="hi-IN"/>
              </w:rPr>
              <w:t>而現有之證據仍不足以證實用於治療眼睛相關疾病之玻璃體內注射給藥</w:t>
            </w:r>
            <w:r w:rsidR="00097560">
              <w:rPr>
                <w:rFonts w:ascii="Times New Roman" w:eastAsia="標楷體" w:hAnsi="Times New Roman" w:hint="eastAsia"/>
                <w:bCs/>
                <w:color w:val="000000" w:themeColor="text1"/>
                <w:kern w:val="36"/>
                <w:szCs w:val="24"/>
                <w:lang w:bidi="hi-IN"/>
              </w:rPr>
              <w:t>產品</w:t>
            </w:r>
            <w:r w:rsidR="00097560" w:rsidRPr="00B65426">
              <w:rPr>
                <w:rFonts w:ascii="Times New Roman" w:eastAsia="標楷體" w:hAnsi="Times New Roman" w:hint="eastAsia"/>
                <w:bCs/>
                <w:kern w:val="36"/>
                <w:lang w:bidi="hi-IN"/>
              </w:rPr>
              <w:t>（</w:t>
            </w:r>
            <w:r w:rsidR="00097560">
              <w:rPr>
                <w:rFonts w:ascii="Times New Roman" w:eastAsia="標楷體" w:hAnsi="Times New Roman" w:hint="eastAsia"/>
                <w:bCs/>
                <w:kern w:val="36"/>
                <w:lang w:bidi="hi-IN"/>
              </w:rPr>
              <w:t>如</w:t>
            </w:r>
            <w:r w:rsidR="00097560">
              <w:rPr>
                <w:rFonts w:ascii="Times New Roman" w:eastAsia="標楷體" w:hAnsi="Times New Roman" w:hint="eastAsia"/>
                <w:bCs/>
                <w:kern w:val="36"/>
                <w:lang w:bidi="hi-IN"/>
              </w:rPr>
              <w:t>ranibizumab</w:t>
            </w:r>
            <w:r w:rsidR="00097560">
              <w:rPr>
                <w:rFonts w:ascii="Times New Roman" w:eastAsia="標楷體" w:hAnsi="Times New Roman" w:hint="eastAsia"/>
                <w:bCs/>
                <w:kern w:val="36"/>
                <w:lang w:bidi="hi-IN"/>
              </w:rPr>
              <w:t>和</w:t>
            </w:r>
            <w:r w:rsidR="00097560">
              <w:rPr>
                <w:rFonts w:ascii="Times New Roman" w:eastAsia="標楷體" w:hAnsi="Times New Roman" w:hint="eastAsia"/>
                <w:bCs/>
                <w:kern w:val="36"/>
                <w:lang w:bidi="hi-IN"/>
              </w:rPr>
              <w:t>aflibercept</w:t>
            </w:r>
            <w:r w:rsidR="00097560">
              <w:rPr>
                <w:rFonts w:ascii="Times New Roman" w:eastAsia="標楷體" w:hAnsi="Times New Roman" w:hint="eastAsia"/>
                <w:bCs/>
                <w:kern w:val="36"/>
                <w:lang w:bidi="hi-IN"/>
              </w:rPr>
              <w:t>的玻璃體內注射劑</w:t>
            </w:r>
            <w:r w:rsidR="00097560" w:rsidRPr="00B65426">
              <w:rPr>
                <w:rFonts w:ascii="Times New Roman" w:eastAsia="標楷體" w:hAnsi="Times New Roman" w:hint="eastAsia"/>
                <w:bCs/>
                <w:kern w:val="36"/>
                <w:lang w:bidi="hi-IN"/>
              </w:rPr>
              <w:t>）</w:t>
            </w:r>
            <w:r w:rsidR="00097560">
              <w:rPr>
                <w:rFonts w:ascii="Times New Roman" w:eastAsia="標楷體" w:hAnsi="Times New Roman" w:hint="eastAsia"/>
                <w:bCs/>
                <w:kern w:val="36"/>
                <w:lang w:bidi="hi-IN"/>
              </w:rPr>
              <w:t>具有此風險。</w:t>
            </w:r>
          </w:p>
          <w:p w:rsidR="00737DA3" w:rsidRPr="006426FD" w:rsidRDefault="00473192" w:rsidP="003555E5">
            <w:pPr>
              <w:pStyle w:val="a9"/>
              <w:widowControl/>
              <w:numPr>
                <w:ilvl w:val="0"/>
                <w:numId w:val="1"/>
              </w:numPr>
              <w:shd w:val="clear" w:color="auto" w:fill="FFFFFF"/>
              <w:ind w:leftChars="0"/>
              <w:jc w:val="both"/>
              <w:rPr>
                <w:rFonts w:ascii="Times New Roman" w:eastAsia="標楷體" w:hAnsi="Times New Roman"/>
                <w:szCs w:val="24"/>
              </w:rPr>
            </w:pPr>
            <w:r>
              <w:rPr>
                <w:rFonts w:ascii="Times New Roman" w:eastAsia="標楷體" w:hAnsi="Times New Roman" w:hint="eastAsia"/>
                <w:szCs w:val="24"/>
              </w:rPr>
              <w:t>截至</w:t>
            </w:r>
            <w:r>
              <w:rPr>
                <w:rFonts w:ascii="Times New Roman" w:eastAsia="標楷體" w:hAnsi="Times New Roman" w:hint="eastAsia"/>
                <w:szCs w:val="24"/>
              </w:rPr>
              <w:t>2018</w:t>
            </w:r>
            <w:r>
              <w:rPr>
                <w:rFonts w:ascii="Times New Roman" w:eastAsia="標楷體" w:hAnsi="Times New Roman" w:hint="eastAsia"/>
                <w:szCs w:val="24"/>
              </w:rPr>
              <w:t>年</w:t>
            </w:r>
            <w:r>
              <w:rPr>
                <w:rFonts w:ascii="Times New Roman" w:eastAsia="標楷體" w:hAnsi="Times New Roman" w:hint="eastAsia"/>
                <w:szCs w:val="24"/>
              </w:rPr>
              <w:t>12</w:t>
            </w:r>
            <w:r>
              <w:rPr>
                <w:rFonts w:ascii="Times New Roman" w:eastAsia="標楷體" w:hAnsi="Times New Roman" w:hint="eastAsia"/>
                <w:szCs w:val="24"/>
              </w:rPr>
              <w:t>月</w:t>
            </w:r>
            <w:r>
              <w:rPr>
                <w:rFonts w:ascii="Times New Roman" w:eastAsia="標楷體" w:hAnsi="Times New Roman" w:hint="eastAsia"/>
                <w:szCs w:val="24"/>
              </w:rPr>
              <w:t>31</w:t>
            </w:r>
            <w:r>
              <w:rPr>
                <w:rFonts w:ascii="Times New Roman" w:eastAsia="標楷體" w:hAnsi="Times New Roman" w:hint="eastAsia"/>
                <w:szCs w:val="24"/>
              </w:rPr>
              <w:t>日止，</w:t>
            </w:r>
            <w:r w:rsidR="00737DA3">
              <w:rPr>
                <w:rFonts w:ascii="Times New Roman" w:eastAsia="標楷體" w:hAnsi="Times New Roman" w:hint="eastAsia"/>
                <w:szCs w:val="24"/>
              </w:rPr>
              <w:t>歐盟</w:t>
            </w:r>
            <w:r w:rsidR="006426FD">
              <w:rPr>
                <w:rFonts w:ascii="Times New Roman" w:eastAsia="標楷體" w:hAnsi="Times New Roman" w:hint="eastAsia"/>
                <w:szCs w:val="24"/>
              </w:rPr>
              <w:t>藥物</w:t>
            </w:r>
            <w:r>
              <w:rPr>
                <w:rFonts w:ascii="Times New Roman" w:eastAsia="標楷體" w:hAnsi="Times New Roman" w:hint="eastAsia"/>
                <w:szCs w:val="24"/>
              </w:rPr>
              <w:t>不良反應資料庫共接獲</w:t>
            </w:r>
            <w:r>
              <w:rPr>
                <w:rFonts w:ascii="Times New Roman" w:eastAsia="標楷體" w:hAnsi="Times New Roman" w:hint="eastAsia"/>
                <w:szCs w:val="24"/>
              </w:rPr>
              <w:t>660</w:t>
            </w:r>
            <w:r>
              <w:rPr>
                <w:rFonts w:ascii="Times New Roman" w:eastAsia="標楷體" w:hAnsi="Times New Roman" w:hint="eastAsia"/>
                <w:szCs w:val="24"/>
              </w:rPr>
              <w:t>件</w:t>
            </w:r>
            <w:r w:rsidR="00737DA3">
              <w:rPr>
                <w:rFonts w:ascii="Times New Roman" w:eastAsia="標楷體" w:hAnsi="Times New Roman" w:hint="eastAsia"/>
                <w:szCs w:val="24"/>
              </w:rPr>
              <w:t>來自全球</w:t>
            </w:r>
            <w:r>
              <w:rPr>
                <w:rFonts w:ascii="Times New Roman" w:eastAsia="標楷體" w:hAnsi="Times New Roman" w:hint="eastAsia"/>
                <w:szCs w:val="24"/>
              </w:rPr>
              <w:t>各地</w:t>
            </w:r>
            <w:r w:rsidR="00FE64F6">
              <w:rPr>
                <w:rFonts w:ascii="Times New Roman" w:eastAsia="標楷體" w:hAnsi="Times New Roman" w:hint="eastAsia"/>
                <w:szCs w:val="24"/>
              </w:rPr>
              <w:t>疑似使用</w:t>
            </w:r>
            <w:r w:rsidR="00FE64F6">
              <w:rPr>
                <w:rFonts w:ascii="Times New Roman" w:eastAsia="標楷體" w:hint="eastAsia"/>
                <w:bCs/>
                <w:color w:val="000000" w:themeColor="text1"/>
                <w:kern w:val="36"/>
                <w:lang w:bidi="hi-IN"/>
              </w:rPr>
              <w:t>血管內皮生長因子路徑</w:t>
            </w:r>
            <w:r w:rsidR="00FE64F6" w:rsidRPr="00481B25">
              <w:rPr>
                <w:rFonts w:ascii="Times New Roman" w:eastAsia="標楷體" w:hint="eastAsia"/>
                <w:bCs/>
                <w:color w:val="000000" w:themeColor="text1"/>
                <w:kern w:val="36"/>
                <w:lang w:bidi="hi-IN"/>
              </w:rPr>
              <w:t>抑制</w:t>
            </w:r>
            <w:r w:rsidR="00FE64F6" w:rsidRPr="00481B25">
              <w:rPr>
                <w:rFonts w:ascii="Times New Roman" w:eastAsia="標楷體" w:hAnsi="Times New Roman"/>
                <w:bCs/>
                <w:color w:val="000000" w:themeColor="text1"/>
                <w:kern w:val="36"/>
                <w:szCs w:val="24"/>
                <w:lang w:bidi="hi-IN"/>
              </w:rPr>
              <w:t>劑</w:t>
            </w:r>
            <w:r w:rsidR="00FE64F6">
              <w:rPr>
                <w:rFonts w:ascii="Times New Roman" w:eastAsia="標楷體" w:hAnsi="Times New Roman" w:hint="eastAsia"/>
                <w:bCs/>
                <w:color w:val="000000" w:themeColor="text1"/>
                <w:kern w:val="36"/>
                <w:szCs w:val="24"/>
                <w:lang w:bidi="hi-IN"/>
              </w:rPr>
              <w:t>後發生動脈瘤或動脈剝離之案例報告，其中包含致死的案例，主要與主</w:t>
            </w:r>
            <w:r w:rsidR="00FE64F6">
              <w:rPr>
                <w:rFonts w:ascii="Times New Roman" w:eastAsia="標楷體" w:hAnsi="Times New Roman" w:hint="eastAsia"/>
                <w:bCs/>
                <w:color w:val="000000" w:themeColor="text1"/>
                <w:kern w:val="36"/>
                <w:szCs w:val="24"/>
                <w:lang w:bidi="hi-IN"/>
              </w:rPr>
              <w:lastRenderedPageBreak/>
              <w:t>動脈瘤破裂和主動脈剝離相關。</w:t>
            </w:r>
            <w:r w:rsidR="00424053">
              <w:rPr>
                <w:rFonts w:ascii="Times New Roman" w:eastAsia="標楷體" w:hAnsi="Times New Roman" w:hint="eastAsia"/>
                <w:bCs/>
                <w:color w:val="000000" w:themeColor="text1"/>
                <w:kern w:val="36"/>
                <w:szCs w:val="24"/>
                <w:lang w:bidi="hi-IN"/>
              </w:rPr>
              <w:t>回溯</w:t>
            </w:r>
            <w:r w:rsidR="006426FD">
              <w:rPr>
                <w:rFonts w:ascii="Times New Roman" w:eastAsia="標楷體" w:hAnsi="Times New Roman" w:hint="eastAsia"/>
                <w:bCs/>
                <w:color w:val="000000" w:themeColor="text1"/>
                <w:kern w:val="36"/>
                <w:szCs w:val="24"/>
                <w:lang w:bidi="hi-IN"/>
              </w:rPr>
              <w:t>通報</w:t>
            </w:r>
            <w:r w:rsidR="00424053">
              <w:rPr>
                <w:rFonts w:ascii="Times New Roman" w:eastAsia="標楷體" w:hAnsi="Times New Roman" w:hint="eastAsia"/>
                <w:bCs/>
                <w:color w:val="000000" w:themeColor="text1"/>
                <w:kern w:val="36"/>
                <w:szCs w:val="24"/>
                <w:lang w:bidi="hi-IN"/>
              </w:rPr>
              <w:t>個案之病史，發現最常被通報的風險因子為高血壓，其他風險因子尚包括糖尿病、高膽固醇血症</w:t>
            </w:r>
            <w:r>
              <w:rPr>
                <w:rFonts w:ascii="Times New Roman" w:eastAsia="標楷體" w:hAnsi="Times New Roman" w:hint="eastAsia"/>
                <w:bCs/>
                <w:color w:val="000000" w:themeColor="text1"/>
                <w:kern w:val="36"/>
                <w:szCs w:val="24"/>
                <w:lang w:bidi="hi-IN"/>
              </w:rPr>
              <w:t>、高脂血症、主動脈瘤病史、心血管疾病或</w:t>
            </w:r>
            <w:r w:rsidR="006426FD">
              <w:rPr>
                <w:rFonts w:ascii="Times New Roman" w:eastAsia="標楷體" w:hAnsi="Times New Roman" w:hint="eastAsia"/>
                <w:bCs/>
                <w:color w:val="000000" w:themeColor="text1"/>
                <w:kern w:val="36"/>
                <w:szCs w:val="24"/>
                <w:lang w:bidi="hi-IN"/>
              </w:rPr>
              <w:t>吸菸等；而主動脈瘤和主動脈剝離較常被通報發生在</w:t>
            </w:r>
            <w:r w:rsidR="00424053">
              <w:rPr>
                <w:rFonts w:ascii="Times New Roman" w:eastAsia="標楷體" w:hAnsi="Times New Roman" w:hint="eastAsia"/>
                <w:bCs/>
                <w:color w:val="000000" w:themeColor="text1"/>
                <w:kern w:val="36"/>
                <w:szCs w:val="24"/>
                <w:lang w:bidi="hi-IN"/>
              </w:rPr>
              <w:t>65</w:t>
            </w:r>
            <w:r w:rsidR="00424053">
              <w:rPr>
                <w:rFonts w:ascii="Times New Roman" w:eastAsia="標楷體" w:hAnsi="Times New Roman" w:hint="eastAsia"/>
                <w:bCs/>
                <w:color w:val="000000" w:themeColor="text1"/>
                <w:kern w:val="36"/>
                <w:szCs w:val="24"/>
                <w:lang w:bidi="hi-IN"/>
              </w:rPr>
              <w:t>歲以上之老年人族群。</w:t>
            </w:r>
          </w:p>
          <w:p w:rsidR="008F6F03" w:rsidRPr="00D62331" w:rsidRDefault="00424053" w:rsidP="003555E5">
            <w:pPr>
              <w:pStyle w:val="a9"/>
              <w:widowControl/>
              <w:numPr>
                <w:ilvl w:val="0"/>
                <w:numId w:val="1"/>
              </w:numPr>
              <w:shd w:val="clear" w:color="auto" w:fill="FFFFFF"/>
              <w:ind w:leftChars="0"/>
              <w:jc w:val="both"/>
              <w:rPr>
                <w:rFonts w:ascii="Times New Roman" w:eastAsia="標楷體" w:hAnsi="Times New Roman"/>
                <w:szCs w:val="24"/>
              </w:rPr>
            </w:pPr>
            <w:r w:rsidRPr="00D62331">
              <w:rPr>
                <w:rFonts w:ascii="Times New Roman" w:eastAsia="標楷體" w:hAnsi="Times New Roman" w:hint="eastAsia"/>
                <w:kern w:val="0"/>
                <w:szCs w:val="24"/>
              </w:rPr>
              <w:t>全身性投予</w:t>
            </w:r>
            <w:r w:rsidRPr="00D62331">
              <w:rPr>
                <w:rFonts w:ascii="Times New Roman" w:eastAsia="標楷體" w:hint="eastAsia"/>
                <w:bCs/>
                <w:kern w:val="36"/>
                <w:lang w:bidi="hi-IN"/>
              </w:rPr>
              <w:t>血管內皮生長因子路徑抑制</w:t>
            </w:r>
            <w:r w:rsidRPr="00D62331">
              <w:rPr>
                <w:rFonts w:ascii="Times New Roman" w:eastAsia="標楷體" w:hAnsi="Times New Roman"/>
                <w:bCs/>
                <w:kern w:val="36"/>
                <w:szCs w:val="24"/>
                <w:lang w:bidi="hi-IN"/>
              </w:rPr>
              <w:t>劑</w:t>
            </w:r>
            <w:r w:rsidR="0051614F">
              <w:rPr>
                <w:rFonts w:ascii="Times New Roman" w:eastAsia="標楷體" w:hAnsi="Times New Roman" w:hint="eastAsia"/>
                <w:bCs/>
                <w:kern w:val="36"/>
                <w:szCs w:val="24"/>
                <w:lang w:bidi="hi-IN"/>
              </w:rPr>
              <w:t>類藥品</w:t>
            </w:r>
            <w:r w:rsidRPr="00D62331">
              <w:rPr>
                <w:rFonts w:ascii="Times New Roman" w:eastAsia="標楷體" w:hAnsi="Times New Roman" w:hint="eastAsia"/>
                <w:bCs/>
                <w:kern w:val="36"/>
                <w:szCs w:val="24"/>
                <w:lang w:bidi="hi-IN"/>
              </w:rPr>
              <w:t>導致動脈瘤或動脈剝離之機轉尚不明確，但可能與</w:t>
            </w:r>
            <w:r w:rsidR="000973BD">
              <w:rPr>
                <w:rFonts w:ascii="Times New Roman" w:eastAsia="標楷體" w:hAnsi="Times New Roman" w:hint="eastAsia"/>
                <w:bCs/>
                <w:kern w:val="36"/>
                <w:szCs w:val="24"/>
                <w:lang w:bidi="hi-IN"/>
              </w:rPr>
              <w:t>血管壁</w:t>
            </w:r>
            <w:r w:rsidR="00D62331" w:rsidRPr="00D62331">
              <w:rPr>
                <w:rFonts w:ascii="Times New Roman" w:eastAsia="標楷體" w:hAnsi="Times New Roman" w:hint="eastAsia"/>
                <w:bCs/>
                <w:kern w:val="36"/>
                <w:szCs w:val="24"/>
                <w:lang w:bidi="hi-IN"/>
              </w:rPr>
              <w:t>受損</w:t>
            </w:r>
            <w:r w:rsidR="000973BD">
              <w:rPr>
                <w:rFonts w:ascii="Times New Roman" w:eastAsia="標楷體" w:hAnsi="Times New Roman" w:hint="eastAsia"/>
                <w:bCs/>
                <w:kern w:val="36"/>
                <w:szCs w:val="24"/>
                <w:lang w:bidi="hi-IN"/>
              </w:rPr>
              <w:t>程度</w:t>
            </w:r>
            <w:r w:rsidR="00D62331" w:rsidRPr="00D62331">
              <w:rPr>
                <w:rFonts w:ascii="Times New Roman" w:eastAsia="標楷體" w:hAnsi="Times New Roman" w:hint="eastAsia"/>
                <w:bCs/>
                <w:kern w:val="36"/>
                <w:szCs w:val="24"/>
                <w:lang w:bidi="hi-IN"/>
              </w:rPr>
              <w:t>、</w:t>
            </w:r>
            <w:r w:rsidRPr="00D62331">
              <w:rPr>
                <w:rFonts w:ascii="Times New Roman" w:eastAsia="標楷體" w:hAnsi="Times New Roman" w:hint="eastAsia"/>
                <w:bCs/>
                <w:kern w:val="36"/>
                <w:szCs w:val="24"/>
                <w:lang w:bidi="hi-IN"/>
              </w:rPr>
              <w:t>高血壓或</w:t>
            </w:r>
            <w:r w:rsidR="00F55C4A" w:rsidRPr="00D62331">
              <w:rPr>
                <w:rFonts w:ascii="Times New Roman" w:eastAsia="標楷體" w:hAnsi="Times New Roman" w:hint="eastAsia"/>
                <w:bCs/>
                <w:kern w:val="36"/>
                <w:szCs w:val="24"/>
                <w:lang w:bidi="hi-IN"/>
              </w:rPr>
              <w:t>原有</w:t>
            </w:r>
            <w:r w:rsidRPr="00D62331">
              <w:rPr>
                <w:rFonts w:ascii="Times New Roman" w:eastAsia="標楷體" w:hAnsi="Times New Roman" w:hint="eastAsia"/>
                <w:bCs/>
                <w:kern w:val="36"/>
                <w:szCs w:val="24"/>
                <w:lang w:bidi="hi-IN"/>
              </w:rPr>
              <w:t>高血壓惡化</w:t>
            </w:r>
            <w:r w:rsidR="00F55C4A" w:rsidRPr="00D62331">
              <w:rPr>
                <w:rFonts w:ascii="Times New Roman" w:eastAsia="標楷體" w:hAnsi="Times New Roman" w:hint="eastAsia"/>
                <w:bCs/>
                <w:kern w:val="36"/>
                <w:szCs w:val="24"/>
                <w:lang w:bidi="hi-IN"/>
              </w:rPr>
              <w:t>有關</w:t>
            </w:r>
            <w:r w:rsidR="0051614F">
              <w:rPr>
                <w:rFonts w:ascii="Times New Roman" w:eastAsia="標楷體" w:hAnsi="Times New Roman" w:hint="eastAsia"/>
                <w:bCs/>
                <w:kern w:val="36"/>
                <w:szCs w:val="24"/>
                <w:lang w:bidi="hi-IN"/>
              </w:rPr>
              <w:t>，</w:t>
            </w:r>
            <w:r w:rsidR="00AD3BC6">
              <w:rPr>
                <w:rFonts w:ascii="Times New Roman" w:eastAsia="標楷體" w:hAnsi="Times New Roman" w:hint="eastAsia"/>
                <w:bCs/>
                <w:kern w:val="36"/>
                <w:szCs w:val="24"/>
                <w:lang w:bidi="hi-IN"/>
              </w:rPr>
              <w:t>惟</w:t>
            </w:r>
            <w:r w:rsidR="0051614F">
              <w:rPr>
                <w:rFonts w:ascii="Times New Roman" w:eastAsia="標楷體" w:hAnsi="Times New Roman" w:hint="eastAsia"/>
                <w:bCs/>
                <w:kern w:val="36"/>
                <w:szCs w:val="24"/>
                <w:lang w:bidi="hi-IN"/>
              </w:rPr>
              <w:t>目前</w:t>
            </w:r>
            <w:r w:rsidR="0051614F">
              <w:rPr>
                <w:rFonts w:ascii="Times New Roman" w:eastAsia="標楷體" w:hAnsi="Times New Roman" w:hint="eastAsia"/>
                <w:szCs w:val="24"/>
              </w:rPr>
              <w:t>難以</w:t>
            </w:r>
            <w:r w:rsidR="0051614F" w:rsidRPr="000C4C68">
              <w:rPr>
                <w:rFonts w:ascii="Times New Roman" w:eastAsia="標楷體" w:hAnsi="Times New Roman" w:hint="eastAsia"/>
                <w:szCs w:val="24"/>
              </w:rPr>
              <w:t>估算</w:t>
            </w:r>
            <w:r w:rsidR="0051614F">
              <w:rPr>
                <w:rFonts w:ascii="Times New Roman" w:eastAsia="標楷體" w:hAnsi="Times New Roman" w:hint="eastAsia"/>
                <w:color w:val="000000"/>
                <w:kern w:val="0"/>
                <w:szCs w:val="24"/>
              </w:rPr>
              <w:t>其</w:t>
            </w:r>
            <w:r w:rsidR="0051614F">
              <w:rPr>
                <w:rFonts w:ascii="Times New Roman" w:eastAsia="標楷體" w:hAnsi="Times New Roman" w:hint="eastAsia"/>
                <w:bCs/>
                <w:color w:val="000000" w:themeColor="text1"/>
                <w:kern w:val="36"/>
                <w:szCs w:val="24"/>
                <w:lang w:bidi="hi-IN"/>
              </w:rPr>
              <w:t>風險大小。</w:t>
            </w:r>
          </w:p>
          <w:p w:rsidR="004E33E0" w:rsidRPr="008C2A7F" w:rsidRDefault="00097560" w:rsidP="003555E5">
            <w:pPr>
              <w:pStyle w:val="a9"/>
              <w:widowControl/>
              <w:numPr>
                <w:ilvl w:val="0"/>
                <w:numId w:val="1"/>
              </w:numPr>
              <w:shd w:val="clear" w:color="auto" w:fill="FFFFFF"/>
              <w:ind w:leftChars="0"/>
              <w:jc w:val="both"/>
              <w:rPr>
                <w:rFonts w:ascii="Times New Roman" w:eastAsia="標楷體" w:hAnsi="Times New Roman"/>
                <w:szCs w:val="24"/>
              </w:rPr>
            </w:pPr>
            <w:r>
              <w:rPr>
                <w:rFonts w:ascii="Times New Roman" w:eastAsia="標楷體" w:hAnsi="Times New Roman" w:hint="eastAsia"/>
                <w:color w:val="000000"/>
                <w:kern w:val="0"/>
                <w:szCs w:val="24"/>
              </w:rPr>
              <w:t>考量上述嚴重風險，</w:t>
            </w:r>
            <w:r w:rsidR="0002377F">
              <w:rPr>
                <w:rFonts w:ascii="Times New Roman" w:eastAsia="標楷體" w:hAnsi="Times New Roman" w:hint="eastAsia"/>
                <w:color w:val="000000"/>
                <w:kern w:val="0"/>
                <w:szCs w:val="24"/>
              </w:rPr>
              <w:t>歐洲已更新所有</w:t>
            </w:r>
            <w:r>
              <w:rPr>
                <w:rFonts w:ascii="Times New Roman" w:eastAsia="標楷體" w:hAnsi="Times New Roman" w:hint="eastAsia"/>
                <w:color w:val="000000"/>
                <w:kern w:val="0"/>
                <w:szCs w:val="24"/>
              </w:rPr>
              <w:t>全身性投予</w:t>
            </w:r>
            <w:r w:rsidR="0002377F">
              <w:rPr>
                <w:rFonts w:ascii="Times New Roman" w:eastAsia="標楷體" w:hAnsi="Times New Roman" w:hint="eastAsia"/>
                <w:color w:val="000000"/>
                <w:kern w:val="0"/>
                <w:szCs w:val="24"/>
              </w:rPr>
              <w:t>之</w:t>
            </w:r>
            <w:r>
              <w:rPr>
                <w:rFonts w:ascii="Times New Roman" w:eastAsia="標楷體" w:hint="eastAsia"/>
                <w:bCs/>
                <w:color w:val="000000" w:themeColor="text1"/>
                <w:kern w:val="36"/>
                <w:lang w:bidi="hi-IN"/>
              </w:rPr>
              <w:t>血管內皮生長因子路徑</w:t>
            </w:r>
            <w:r w:rsidRPr="00481B25">
              <w:rPr>
                <w:rFonts w:ascii="Times New Roman" w:eastAsia="標楷體" w:hint="eastAsia"/>
                <w:bCs/>
                <w:color w:val="000000" w:themeColor="text1"/>
                <w:kern w:val="36"/>
                <w:lang w:bidi="hi-IN"/>
              </w:rPr>
              <w:t>抑制</w:t>
            </w:r>
            <w:r w:rsidRPr="00481B25">
              <w:rPr>
                <w:rFonts w:ascii="Times New Roman" w:eastAsia="標楷體" w:hAnsi="Times New Roman"/>
                <w:bCs/>
                <w:color w:val="000000" w:themeColor="text1"/>
                <w:kern w:val="36"/>
                <w:szCs w:val="24"/>
                <w:lang w:bidi="hi-IN"/>
              </w:rPr>
              <w:t>劑</w:t>
            </w:r>
            <w:r w:rsidR="008C2A7F">
              <w:rPr>
                <w:rFonts w:ascii="Times New Roman" w:eastAsia="標楷體" w:hAnsi="Times New Roman" w:hint="eastAsia"/>
                <w:bCs/>
                <w:color w:val="000000" w:themeColor="text1"/>
                <w:kern w:val="36"/>
                <w:szCs w:val="24"/>
                <w:lang w:bidi="hi-IN"/>
              </w:rPr>
              <w:t>類藥品之</w:t>
            </w:r>
            <w:r w:rsidR="0002377F">
              <w:rPr>
                <w:rFonts w:ascii="Times New Roman" w:eastAsia="標楷體" w:hAnsi="Times New Roman" w:hint="eastAsia"/>
                <w:bCs/>
                <w:color w:val="000000" w:themeColor="text1"/>
                <w:kern w:val="36"/>
                <w:szCs w:val="24"/>
                <w:lang w:bidi="hi-IN"/>
              </w:rPr>
              <w:t>仿單</w:t>
            </w:r>
            <w:r>
              <w:rPr>
                <w:rFonts w:ascii="Times New Roman" w:eastAsia="標楷體" w:hAnsi="Times New Roman" w:hint="eastAsia"/>
                <w:bCs/>
                <w:color w:val="000000" w:themeColor="text1"/>
                <w:kern w:val="36"/>
                <w:szCs w:val="24"/>
                <w:lang w:bidi="hi-IN"/>
              </w:rPr>
              <w:t>以包含</w:t>
            </w:r>
            <w:r w:rsidR="00473192">
              <w:rPr>
                <w:rFonts w:ascii="Times New Roman" w:eastAsia="標楷體" w:hAnsi="Times New Roman" w:hint="eastAsia"/>
                <w:bCs/>
                <w:color w:val="000000" w:themeColor="text1"/>
                <w:kern w:val="36"/>
                <w:szCs w:val="24"/>
                <w:lang w:bidi="hi-IN"/>
              </w:rPr>
              <w:t>動脈瘤和動脈剝離風險</w:t>
            </w:r>
            <w:r w:rsidR="008D165A">
              <w:rPr>
                <w:rFonts w:ascii="Times New Roman" w:eastAsia="標楷體" w:hAnsi="Times New Roman" w:hint="eastAsia"/>
                <w:bCs/>
                <w:color w:val="000000" w:themeColor="text1"/>
                <w:kern w:val="36"/>
                <w:szCs w:val="24"/>
                <w:lang w:bidi="hi-IN"/>
              </w:rPr>
              <w:t>，並建議具風險因子</w:t>
            </w:r>
            <w:r w:rsidR="008D165A" w:rsidRPr="00B65426">
              <w:rPr>
                <w:rFonts w:ascii="Times New Roman" w:eastAsia="標楷體" w:hAnsi="Times New Roman" w:hint="eastAsia"/>
                <w:bCs/>
                <w:kern w:val="36"/>
                <w:lang w:bidi="hi-IN"/>
              </w:rPr>
              <w:t>（</w:t>
            </w:r>
            <w:r w:rsidR="008D165A">
              <w:rPr>
                <w:rFonts w:ascii="Times New Roman" w:eastAsia="標楷體" w:hAnsi="Times New Roman" w:hint="eastAsia"/>
                <w:bCs/>
                <w:kern w:val="36"/>
                <w:lang w:bidi="hi-IN"/>
              </w:rPr>
              <w:t>如高血壓</w:t>
            </w:r>
            <w:r w:rsidR="008D165A" w:rsidRPr="00B65426">
              <w:rPr>
                <w:rFonts w:ascii="Times New Roman" w:eastAsia="標楷體" w:hAnsi="Times New Roman" w:hint="eastAsia"/>
                <w:bCs/>
                <w:kern w:val="36"/>
                <w:lang w:bidi="hi-IN"/>
              </w:rPr>
              <w:t>）</w:t>
            </w:r>
            <w:r w:rsidR="008D165A">
              <w:rPr>
                <w:rFonts w:ascii="Times New Roman" w:eastAsia="標楷體" w:hAnsi="Times New Roman" w:hint="eastAsia"/>
                <w:bCs/>
                <w:color w:val="000000" w:themeColor="text1"/>
                <w:kern w:val="36"/>
                <w:szCs w:val="24"/>
                <w:lang w:bidi="hi-IN"/>
              </w:rPr>
              <w:t>之病人在開始使用</w:t>
            </w:r>
            <w:r w:rsidR="0002377F">
              <w:rPr>
                <w:rFonts w:ascii="Times New Roman" w:eastAsia="標楷體" w:hAnsi="Times New Roman" w:hint="eastAsia"/>
                <w:bCs/>
                <w:color w:val="000000" w:themeColor="text1"/>
                <w:kern w:val="36"/>
                <w:szCs w:val="24"/>
                <w:lang w:bidi="hi-IN"/>
              </w:rPr>
              <w:t>此</w:t>
            </w:r>
            <w:r w:rsidR="008D165A">
              <w:rPr>
                <w:rFonts w:ascii="Times New Roman" w:eastAsia="標楷體" w:hAnsi="Times New Roman" w:hint="eastAsia"/>
                <w:bCs/>
                <w:color w:val="000000" w:themeColor="text1"/>
                <w:kern w:val="36"/>
                <w:szCs w:val="24"/>
                <w:lang w:bidi="hi-IN"/>
              </w:rPr>
              <w:t>類藥品前應審慎考量相關風險</w:t>
            </w:r>
            <w:r w:rsidR="008F6F03">
              <w:rPr>
                <w:rFonts w:ascii="Times New Roman" w:eastAsia="標楷體" w:hAnsi="Times New Roman" w:hint="eastAsia"/>
                <w:color w:val="000000"/>
                <w:kern w:val="0"/>
                <w:szCs w:val="24"/>
              </w:rPr>
              <w:t>，</w:t>
            </w:r>
            <w:r w:rsidR="008D165A">
              <w:rPr>
                <w:rFonts w:ascii="Times New Roman" w:eastAsia="標楷體" w:hAnsi="Times New Roman" w:hint="eastAsia"/>
                <w:color w:val="000000"/>
                <w:kern w:val="0"/>
                <w:szCs w:val="24"/>
              </w:rPr>
              <w:t>而正在接受全身性投予</w:t>
            </w:r>
            <w:r w:rsidR="0002377F">
              <w:rPr>
                <w:rFonts w:ascii="Times New Roman" w:eastAsia="標楷體" w:hAnsi="Times New Roman" w:hint="eastAsia"/>
                <w:bCs/>
                <w:color w:val="000000" w:themeColor="text1"/>
                <w:kern w:val="36"/>
                <w:szCs w:val="24"/>
                <w:lang w:bidi="hi-IN"/>
              </w:rPr>
              <w:t>此</w:t>
            </w:r>
            <w:r w:rsidR="008D165A">
              <w:rPr>
                <w:rFonts w:ascii="Times New Roman" w:eastAsia="標楷體" w:hAnsi="Times New Roman" w:hint="eastAsia"/>
                <w:bCs/>
                <w:color w:val="000000" w:themeColor="text1"/>
                <w:kern w:val="36"/>
                <w:szCs w:val="24"/>
                <w:lang w:bidi="hi-IN"/>
              </w:rPr>
              <w:t>類藥品治療之病人應密切監測並盡可能減少可調控之風險因子</w:t>
            </w:r>
            <w:r w:rsidR="0002377F" w:rsidRPr="00B65426">
              <w:rPr>
                <w:rFonts w:ascii="Times New Roman" w:eastAsia="標楷體" w:hAnsi="Times New Roman" w:hint="eastAsia"/>
                <w:bCs/>
                <w:kern w:val="36"/>
                <w:lang w:bidi="hi-IN"/>
              </w:rPr>
              <w:t>（</w:t>
            </w:r>
            <w:r w:rsidR="0002377F">
              <w:rPr>
                <w:rFonts w:ascii="Times New Roman" w:eastAsia="標楷體" w:hAnsi="Times New Roman" w:hint="eastAsia"/>
                <w:bCs/>
                <w:kern w:val="36"/>
                <w:lang w:bidi="hi-IN"/>
              </w:rPr>
              <w:t>如高血壓和抽菸</w:t>
            </w:r>
            <w:r w:rsidR="0002377F" w:rsidRPr="00B65426">
              <w:rPr>
                <w:rFonts w:ascii="Times New Roman" w:eastAsia="標楷體" w:hAnsi="Times New Roman" w:hint="eastAsia"/>
                <w:bCs/>
                <w:kern w:val="36"/>
                <w:lang w:bidi="hi-IN"/>
              </w:rPr>
              <w:t>）</w:t>
            </w:r>
            <w:r w:rsidR="002779B3">
              <w:rPr>
                <w:rFonts w:ascii="Times New Roman" w:eastAsia="標楷體" w:hAnsi="Times New Roman" w:hint="eastAsia"/>
                <w:color w:val="000000" w:themeColor="text1"/>
              </w:rPr>
              <w:t>。</w:t>
            </w:r>
          </w:p>
        </w:tc>
      </w:tr>
      <w:tr w:rsidR="008C2A7F" w:rsidRPr="00136184" w:rsidTr="00CB2324">
        <w:trPr>
          <w:trHeight w:val="896"/>
          <w:jc w:val="center"/>
        </w:trPr>
        <w:tc>
          <w:tcPr>
            <w:tcW w:w="2413" w:type="dxa"/>
            <w:vAlign w:val="center"/>
          </w:tcPr>
          <w:p w:rsidR="008C2A7F" w:rsidRDefault="008C2A7F" w:rsidP="009424B6">
            <w:pPr>
              <w:jc w:val="center"/>
              <w:rPr>
                <w:rFonts w:ascii="Times New Roman" w:eastAsia="標楷體" w:hAnsi="標楷體"/>
              </w:rPr>
            </w:pPr>
            <w:r>
              <w:rPr>
                <w:rFonts w:ascii="Times New Roman" w:eastAsia="標楷體" w:hAnsi="標楷體" w:hint="eastAsia"/>
              </w:rPr>
              <w:lastRenderedPageBreak/>
              <w:t>食品藥物管理署</w:t>
            </w:r>
          </w:p>
          <w:p w:rsidR="008C2A7F" w:rsidRPr="00B57AEE" w:rsidRDefault="008C2A7F" w:rsidP="009424B6">
            <w:pPr>
              <w:jc w:val="center"/>
              <w:rPr>
                <w:rFonts w:ascii="Times New Roman" w:eastAsia="標楷體" w:hAnsi="標楷體"/>
              </w:rPr>
            </w:pPr>
            <w:r>
              <w:rPr>
                <w:rFonts w:ascii="Times New Roman" w:eastAsia="標楷體" w:hAnsi="標楷體" w:hint="eastAsia"/>
              </w:rPr>
              <w:t>風險溝通說明</w:t>
            </w:r>
          </w:p>
        </w:tc>
        <w:tc>
          <w:tcPr>
            <w:tcW w:w="7316" w:type="dxa"/>
          </w:tcPr>
          <w:p w:rsidR="008C2A7F" w:rsidRDefault="008C2A7F" w:rsidP="008C2A7F">
            <w:pPr>
              <w:pStyle w:val="Web"/>
              <w:spacing w:before="0" w:beforeAutospacing="0" w:after="0" w:afterAutospacing="0" w:line="400" w:lineRule="exact"/>
              <w:rPr>
                <w:rFonts w:ascii="標楷體" w:eastAsia="標楷體" w:hAnsi="標楷體" w:cs="Times New Roman"/>
                <w:b/>
                <w:bCs/>
                <w:color w:val="000000"/>
                <w:u w:val="single"/>
              </w:rPr>
            </w:pPr>
            <w:r>
              <w:rPr>
                <w:rFonts w:ascii="標楷體" w:eastAsia="標楷體" w:hAnsi="標楷體" w:cs="Times New Roman" w:hint="eastAsia"/>
                <w:bCs/>
                <w:color w:val="000000"/>
              </w:rPr>
              <w:t>◎</w:t>
            </w:r>
            <w:r>
              <w:rPr>
                <w:rFonts w:ascii="標楷體" w:eastAsia="標楷體" w:hAnsi="標楷體" w:cs="Times New Roman" w:hint="eastAsia"/>
                <w:b/>
                <w:bCs/>
                <w:color w:val="000000"/>
                <w:u w:val="single"/>
              </w:rPr>
              <w:t>食品藥物管理署說明：</w:t>
            </w:r>
          </w:p>
          <w:p w:rsidR="008C2A7F" w:rsidRDefault="008C2A7F" w:rsidP="003555E5">
            <w:pPr>
              <w:pStyle w:val="a9"/>
              <w:widowControl/>
              <w:numPr>
                <w:ilvl w:val="0"/>
                <w:numId w:val="20"/>
              </w:numPr>
              <w:shd w:val="clear" w:color="auto" w:fill="FFFFFF"/>
              <w:ind w:leftChars="0"/>
              <w:jc w:val="both"/>
              <w:rPr>
                <w:rFonts w:ascii="Times New Roman" w:eastAsia="標楷體" w:hAnsi="Times New Roman"/>
                <w:color w:val="000000"/>
                <w:kern w:val="0"/>
                <w:szCs w:val="24"/>
              </w:rPr>
            </w:pPr>
            <w:r w:rsidRPr="008C2A7F">
              <w:rPr>
                <w:rFonts w:ascii="Times New Roman" w:eastAsia="標楷體" w:hAnsi="Times New Roman" w:hint="eastAsia"/>
                <w:color w:val="000000"/>
                <w:kern w:val="0"/>
                <w:szCs w:val="24"/>
              </w:rPr>
              <w:t>經查，我國核准</w:t>
            </w:r>
            <w:r w:rsidR="0026780F" w:rsidRPr="0026780F">
              <w:rPr>
                <w:rFonts w:ascii="Times New Roman" w:eastAsia="標楷體" w:hAnsi="Times New Roman" w:hint="eastAsia"/>
                <w:color w:val="000000"/>
                <w:kern w:val="0"/>
                <w:szCs w:val="24"/>
              </w:rPr>
              <w:t>血管內皮生長因子路徑抑制劑類藥品</w:t>
            </w:r>
            <w:r w:rsidRPr="008C2A7F">
              <w:rPr>
                <w:rFonts w:ascii="Times New Roman" w:eastAsia="標楷體" w:hAnsi="Times New Roman" w:hint="eastAsia"/>
                <w:color w:val="000000"/>
                <w:kern w:val="0"/>
                <w:szCs w:val="24"/>
              </w:rPr>
              <w:t>許可證共</w:t>
            </w:r>
            <w:r w:rsidR="00173D51">
              <w:rPr>
                <w:rFonts w:ascii="Times New Roman" w:eastAsia="標楷體" w:hAnsi="Times New Roman"/>
                <w:color w:val="000000"/>
                <w:kern w:val="0"/>
                <w:szCs w:val="24"/>
              </w:rPr>
              <w:t>2</w:t>
            </w:r>
            <w:r w:rsidR="00173D51">
              <w:rPr>
                <w:rFonts w:ascii="Times New Roman" w:eastAsia="標楷體" w:hAnsi="Times New Roman" w:hint="eastAsia"/>
                <w:color w:val="000000"/>
                <w:kern w:val="0"/>
                <w:szCs w:val="24"/>
              </w:rPr>
              <w:t>4</w:t>
            </w:r>
            <w:r w:rsidRPr="008C2A7F">
              <w:rPr>
                <w:rFonts w:ascii="Times New Roman" w:eastAsia="標楷體" w:hAnsi="Times New Roman" w:hint="eastAsia"/>
                <w:color w:val="000000"/>
                <w:kern w:val="0"/>
                <w:szCs w:val="24"/>
              </w:rPr>
              <w:t>張（排除用於治療眼睛疾患之</w:t>
            </w:r>
            <w:r w:rsidRPr="008C2A7F">
              <w:rPr>
                <w:rFonts w:ascii="Times New Roman" w:eastAsia="標楷體" w:hAnsi="Times New Roman"/>
                <w:color w:val="000000"/>
                <w:kern w:val="0"/>
                <w:szCs w:val="24"/>
              </w:rPr>
              <w:t>aflibercept</w:t>
            </w:r>
            <w:r w:rsidRPr="008C2A7F">
              <w:rPr>
                <w:rFonts w:ascii="Times New Roman" w:eastAsia="標楷體" w:hAnsi="Times New Roman" w:hint="eastAsia"/>
                <w:color w:val="000000"/>
                <w:kern w:val="0"/>
                <w:szCs w:val="24"/>
              </w:rPr>
              <w:t>許可證</w:t>
            </w:r>
            <w:r w:rsidRPr="008C2A7F">
              <w:rPr>
                <w:rFonts w:ascii="Times New Roman" w:eastAsia="標楷體" w:hAnsi="Times New Roman"/>
                <w:color w:val="000000"/>
                <w:kern w:val="0"/>
                <w:szCs w:val="24"/>
              </w:rPr>
              <w:t>2</w:t>
            </w:r>
            <w:r w:rsidRPr="008C2A7F">
              <w:rPr>
                <w:rFonts w:ascii="Times New Roman" w:eastAsia="標楷體" w:hAnsi="Times New Roman" w:hint="eastAsia"/>
                <w:color w:val="000000"/>
                <w:kern w:val="0"/>
                <w:szCs w:val="24"/>
              </w:rPr>
              <w:t>張，因其現有證據不足以證實其具有該風險），其中包含</w:t>
            </w:r>
            <w:r w:rsidRPr="008C2A7F">
              <w:rPr>
                <w:rFonts w:ascii="Times New Roman" w:eastAsia="標楷體" w:hAnsi="Times New Roman"/>
                <w:color w:val="000000"/>
                <w:kern w:val="0"/>
                <w:szCs w:val="24"/>
              </w:rPr>
              <w:t>bevacizumab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vandetanib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cabozantinib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ramucirumab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ponatinib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axitinib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lenvatinib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sorafenib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nintedanib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regorafenib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sunitinib</w:t>
            </w:r>
            <w:r w:rsidRPr="008C2A7F">
              <w:rPr>
                <w:rFonts w:ascii="Times New Roman" w:eastAsia="標楷體" w:hAnsi="Times New Roman" w:hint="eastAsia"/>
                <w:color w:val="000000"/>
                <w:kern w:val="0"/>
                <w:szCs w:val="24"/>
              </w:rPr>
              <w:t>、</w:t>
            </w:r>
            <w:r w:rsidRPr="008C2A7F">
              <w:rPr>
                <w:rFonts w:ascii="Times New Roman" w:eastAsia="標楷體" w:hAnsi="Times New Roman"/>
                <w:color w:val="000000"/>
                <w:kern w:val="0"/>
                <w:szCs w:val="24"/>
              </w:rPr>
              <w:t>pazopanib</w:t>
            </w:r>
            <w:r w:rsidR="0026780F">
              <w:rPr>
                <w:rFonts w:ascii="Times New Roman" w:eastAsia="標楷體" w:hAnsi="Times New Roman" w:hint="eastAsia"/>
                <w:color w:val="000000"/>
                <w:kern w:val="0"/>
                <w:szCs w:val="24"/>
              </w:rPr>
              <w:t>及</w:t>
            </w:r>
            <w:r w:rsidR="0026780F" w:rsidRPr="0026780F">
              <w:rPr>
                <w:rFonts w:ascii="Times New Roman" w:eastAsia="標楷體" w:hAnsi="Times New Roman"/>
                <w:color w:val="000000"/>
                <w:kern w:val="0"/>
                <w:szCs w:val="24"/>
              </w:rPr>
              <w:t>aflibercept</w:t>
            </w:r>
            <w:r w:rsidRPr="008C2A7F">
              <w:rPr>
                <w:rFonts w:ascii="Times New Roman" w:eastAsia="標楷體" w:hAnsi="Times New Roman" w:hint="eastAsia"/>
                <w:color w:val="000000"/>
                <w:kern w:val="0"/>
                <w:szCs w:val="24"/>
              </w:rPr>
              <w:t>等成分藥品，此類藥品之適應症多為癌症使用。</w:t>
            </w:r>
          </w:p>
          <w:p w:rsidR="008C2A7F" w:rsidRDefault="008C2A7F" w:rsidP="00AD3BC6">
            <w:pPr>
              <w:pStyle w:val="a9"/>
              <w:widowControl/>
              <w:numPr>
                <w:ilvl w:val="0"/>
                <w:numId w:val="20"/>
              </w:numPr>
              <w:shd w:val="clear" w:color="auto" w:fill="FFFFFF"/>
              <w:ind w:leftChars="0"/>
              <w:jc w:val="both"/>
              <w:rPr>
                <w:rFonts w:ascii="Times New Roman" w:eastAsia="標楷體" w:hAnsi="Times New Roman"/>
                <w:color w:val="000000"/>
                <w:kern w:val="0"/>
                <w:szCs w:val="24"/>
              </w:rPr>
            </w:pPr>
            <w:r w:rsidRPr="008C2A7F">
              <w:rPr>
                <w:rFonts w:ascii="Times New Roman" w:eastAsia="標楷體" w:hAnsi="Times New Roman" w:hint="eastAsia"/>
                <w:color w:val="000000"/>
                <w:kern w:val="0"/>
                <w:szCs w:val="24"/>
              </w:rPr>
              <w:t>次查，</w:t>
            </w:r>
            <w:r w:rsidR="0026780F" w:rsidRPr="0026780F">
              <w:rPr>
                <w:rFonts w:ascii="Times New Roman" w:eastAsia="標楷體" w:hAnsi="Times New Roman" w:hint="eastAsia"/>
                <w:color w:val="000000"/>
                <w:kern w:val="0"/>
                <w:szCs w:val="24"/>
              </w:rPr>
              <w:t>血管內皮生長因子路徑抑制劑類藥品</w:t>
            </w:r>
            <w:r w:rsidR="00AD3BC6">
              <w:rPr>
                <w:rFonts w:ascii="Times New Roman" w:eastAsia="標楷體" w:hAnsi="Times New Roman" w:hint="eastAsia"/>
                <w:color w:val="000000"/>
                <w:kern w:val="0"/>
                <w:szCs w:val="24"/>
              </w:rPr>
              <w:t>中</w:t>
            </w:r>
            <w:r w:rsidR="0026780F">
              <w:rPr>
                <w:rFonts w:ascii="Times New Roman" w:eastAsia="標楷體" w:hAnsi="Times New Roman" w:hint="eastAsia"/>
                <w:color w:val="000000"/>
                <w:kern w:val="0"/>
                <w:szCs w:val="24"/>
              </w:rPr>
              <w:t>含</w:t>
            </w:r>
            <w:r w:rsidR="0026780F" w:rsidRPr="0026780F">
              <w:rPr>
                <w:rFonts w:ascii="Times New Roman" w:eastAsia="標楷體" w:hAnsi="Times New Roman"/>
                <w:color w:val="000000"/>
                <w:kern w:val="0"/>
                <w:szCs w:val="24"/>
              </w:rPr>
              <w:t>aflibercept</w:t>
            </w:r>
            <w:r w:rsidR="0026780F">
              <w:rPr>
                <w:rFonts w:ascii="Times New Roman" w:eastAsia="標楷體" w:hAnsi="Times New Roman" w:hint="eastAsia"/>
                <w:color w:val="000000"/>
                <w:kern w:val="0"/>
                <w:szCs w:val="24"/>
              </w:rPr>
              <w:t>成分藥品於中文仿單「警語及注意事項」處</w:t>
            </w:r>
            <w:r w:rsidR="00AD3BC6">
              <w:rPr>
                <w:rFonts w:ascii="Times New Roman" w:eastAsia="標楷體" w:hAnsi="Times New Roman" w:hint="eastAsia"/>
                <w:color w:val="000000"/>
                <w:kern w:val="0"/>
                <w:szCs w:val="24"/>
              </w:rPr>
              <w:t>已</w:t>
            </w:r>
            <w:r w:rsidR="0026780F">
              <w:rPr>
                <w:rFonts w:ascii="Times New Roman" w:eastAsia="標楷體" w:hAnsi="Times New Roman" w:hint="eastAsia"/>
                <w:color w:val="000000"/>
                <w:kern w:val="0"/>
                <w:szCs w:val="24"/>
              </w:rPr>
              <w:t>刊載「</w:t>
            </w:r>
            <w:r w:rsidR="0026780F" w:rsidRPr="00AD3BC6">
              <w:rPr>
                <w:rFonts w:ascii="Times New Roman" w:eastAsia="標楷體" w:hAnsi="Times New Roman" w:hint="eastAsia"/>
                <w:b/>
                <w:color w:val="000000"/>
                <w:kern w:val="0"/>
                <w:szCs w:val="24"/>
              </w:rPr>
              <w:t>動脈瘤與動脈剝離</w:t>
            </w:r>
            <w:r w:rsidR="00AD3BC6" w:rsidRPr="00AD3BC6">
              <w:rPr>
                <w:rFonts w:ascii="Times New Roman" w:eastAsia="標楷體" w:hAnsi="Times New Roman" w:hint="eastAsia"/>
                <w:b/>
                <w:color w:val="000000"/>
                <w:kern w:val="0"/>
                <w:szCs w:val="24"/>
              </w:rPr>
              <w:t>：病人使用血管內皮生長因子（</w:t>
            </w:r>
            <w:r w:rsidR="00AD3BC6" w:rsidRPr="00AD3BC6">
              <w:rPr>
                <w:rFonts w:ascii="Times New Roman" w:eastAsia="標楷體" w:hAnsi="Times New Roman" w:hint="eastAsia"/>
                <w:b/>
                <w:color w:val="000000"/>
                <w:kern w:val="0"/>
                <w:szCs w:val="24"/>
              </w:rPr>
              <w:t>VEGF</w:t>
            </w:r>
            <w:r w:rsidR="00AD3BC6" w:rsidRPr="00AD3BC6">
              <w:rPr>
                <w:rFonts w:ascii="Times New Roman" w:eastAsia="標楷體" w:hAnsi="Times New Roman" w:hint="eastAsia"/>
                <w:b/>
                <w:color w:val="000000"/>
                <w:kern w:val="0"/>
                <w:szCs w:val="24"/>
              </w:rPr>
              <w:t>）路徑抑制的治療時伴隨</w:t>
            </w:r>
            <w:r w:rsidR="00AD3BC6" w:rsidRPr="00AD3BC6">
              <w:rPr>
                <w:rFonts w:ascii="Times New Roman" w:eastAsia="標楷體" w:hAnsi="Times New Roman" w:hint="eastAsia"/>
                <w:b/>
                <w:color w:val="000000"/>
                <w:kern w:val="0"/>
                <w:szCs w:val="24"/>
              </w:rPr>
              <w:t>/</w:t>
            </w:r>
            <w:r w:rsidR="00AD3BC6" w:rsidRPr="00AD3BC6">
              <w:rPr>
                <w:rFonts w:ascii="Times New Roman" w:eastAsia="標楷體" w:hAnsi="Times New Roman" w:hint="eastAsia"/>
                <w:b/>
                <w:color w:val="000000"/>
                <w:kern w:val="0"/>
                <w:szCs w:val="24"/>
              </w:rPr>
              <w:t>不伴隨高血壓可能促進動脈瘤的形成與</w:t>
            </w:r>
            <w:r w:rsidR="00AD3BC6" w:rsidRPr="00AD3BC6">
              <w:rPr>
                <w:rFonts w:ascii="Times New Roman" w:eastAsia="標楷體" w:hAnsi="Times New Roman" w:hint="eastAsia"/>
                <w:b/>
                <w:color w:val="000000"/>
                <w:kern w:val="0"/>
                <w:szCs w:val="24"/>
              </w:rPr>
              <w:t>/</w:t>
            </w:r>
            <w:r w:rsidR="00AD3BC6" w:rsidRPr="00AD3BC6">
              <w:rPr>
                <w:rFonts w:ascii="Times New Roman" w:eastAsia="標楷體" w:hAnsi="Times New Roman" w:hint="eastAsia"/>
                <w:b/>
                <w:color w:val="000000"/>
                <w:kern w:val="0"/>
                <w:szCs w:val="24"/>
              </w:rPr>
              <w:t>或動脈剝離。</w:t>
            </w:r>
            <w:r w:rsidR="00AD3BC6" w:rsidRPr="00AD3BC6">
              <w:rPr>
                <w:rFonts w:ascii="Times New Roman" w:eastAsia="標楷體" w:hAnsi="Times New Roman" w:hint="eastAsia"/>
                <w:b/>
                <w:color w:val="000000"/>
                <w:kern w:val="0"/>
                <w:szCs w:val="24"/>
              </w:rPr>
              <w:t>Zaltrap</w:t>
            </w:r>
            <w:r w:rsidR="00AD3BC6" w:rsidRPr="00AD3BC6">
              <w:rPr>
                <w:rFonts w:ascii="Times New Roman" w:eastAsia="標楷體" w:hAnsi="Times New Roman" w:hint="eastAsia"/>
                <w:b/>
                <w:color w:val="000000"/>
                <w:kern w:val="0"/>
                <w:szCs w:val="24"/>
              </w:rPr>
              <w:t>開始之前，對於病人的風險因子例如高血壓與動脈瘤病史，這些風險應被仔細考量</w:t>
            </w:r>
            <w:r w:rsidR="00AD3BC6">
              <w:rPr>
                <w:rFonts w:ascii="Times New Roman" w:eastAsia="標楷體" w:hAnsi="Times New Roman" w:hint="eastAsia"/>
                <w:color w:val="000000"/>
                <w:kern w:val="0"/>
                <w:szCs w:val="24"/>
              </w:rPr>
              <w:t>」之安全資訊；而</w:t>
            </w:r>
            <w:r w:rsidRPr="008C2A7F">
              <w:rPr>
                <w:rFonts w:ascii="Times New Roman" w:eastAsia="標楷體" w:hAnsi="Times New Roman" w:hint="eastAsia"/>
                <w:color w:val="000000"/>
                <w:kern w:val="0"/>
                <w:szCs w:val="24"/>
              </w:rPr>
              <w:t>含</w:t>
            </w:r>
            <w:r w:rsidRPr="008C2A7F">
              <w:rPr>
                <w:rFonts w:ascii="Times New Roman" w:eastAsia="標楷體" w:hAnsi="Times New Roman" w:hint="eastAsia"/>
                <w:color w:val="000000"/>
                <w:kern w:val="0"/>
                <w:szCs w:val="24"/>
              </w:rPr>
              <w:t>lenvatinib</w:t>
            </w:r>
            <w:r w:rsidRPr="008C2A7F">
              <w:rPr>
                <w:rFonts w:ascii="Times New Roman" w:eastAsia="標楷體" w:hAnsi="Times New Roman" w:hint="eastAsia"/>
                <w:color w:val="000000"/>
                <w:kern w:val="0"/>
                <w:szCs w:val="24"/>
              </w:rPr>
              <w:t>成分藥品</w:t>
            </w:r>
            <w:r w:rsidR="00AD3BC6">
              <w:rPr>
                <w:rFonts w:ascii="Times New Roman" w:eastAsia="標楷體" w:hAnsi="Times New Roman" w:hint="eastAsia"/>
                <w:color w:val="000000"/>
                <w:kern w:val="0"/>
                <w:szCs w:val="24"/>
              </w:rPr>
              <w:t>則</w:t>
            </w:r>
            <w:r w:rsidRPr="008C2A7F">
              <w:rPr>
                <w:rFonts w:ascii="Times New Roman" w:eastAsia="標楷體" w:hAnsi="Times New Roman" w:hint="eastAsia"/>
                <w:color w:val="000000"/>
                <w:kern w:val="0"/>
                <w:szCs w:val="24"/>
              </w:rPr>
              <w:t>於中文仿單「</w:t>
            </w:r>
            <w:r w:rsidRPr="008C2A7F">
              <w:rPr>
                <w:rFonts w:ascii="Times New Roman" w:eastAsia="標楷體" w:hAnsi="Times New Roman" w:hint="eastAsia"/>
                <w:color w:val="000000"/>
                <w:kern w:val="0"/>
                <w:szCs w:val="24"/>
              </w:rPr>
              <w:t xml:space="preserve">6.2 </w:t>
            </w:r>
            <w:r w:rsidR="00AD3BC6">
              <w:rPr>
                <w:rFonts w:ascii="Times New Roman" w:eastAsia="標楷體" w:hAnsi="Times New Roman" w:hint="eastAsia"/>
                <w:color w:val="000000"/>
                <w:kern w:val="0"/>
                <w:szCs w:val="24"/>
              </w:rPr>
              <w:t>上市後經驗」處刊載「血管：主動脈剝離」。</w:t>
            </w:r>
            <w:r w:rsidR="00AD3BC6" w:rsidRPr="00AD3BC6">
              <w:rPr>
                <w:rFonts w:ascii="Times New Roman" w:eastAsia="標楷體" w:hAnsi="Times New Roman" w:hint="eastAsia"/>
                <w:b/>
                <w:color w:val="000000"/>
                <w:kern w:val="0"/>
                <w:szCs w:val="24"/>
                <w:u w:val="single"/>
              </w:rPr>
              <w:t>其餘</w:t>
            </w:r>
            <w:r w:rsidRPr="00AD3BC6">
              <w:rPr>
                <w:rFonts w:ascii="Times New Roman" w:eastAsia="標楷體" w:hAnsi="Times New Roman" w:hint="eastAsia"/>
                <w:b/>
                <w:color w:val="000000"/>
                <w:kern w:val="0"/>
                <w:szCs w:val="24"/>
                <w:u w:val="single"/>
              </w:rPr>
              <w:t>藥品之中文仿單則未刊載「主動脈剝離或動脈瘤」相關風險。</w:t>
            </w:r>
          </w:p>
          <w:p w:rsidR="0026780F" w:rsidRDefault="0026780F" w:rsidP="003555E5">
            <w:pPr>
              <w:pStyle w:val="a9"/>
              <w:widowControl/>
              <w:numPr>
                <w:ilvl w:val="0"/>
                <w:numId w:val="20"/>
              </w:numPr>
              <w:shd w:val="clear" w:color="auto" w:fill="FFFFFF"/>
              <w:ind w:leftChars="0"/>
              <w:jc w:val="both"/>
              <w:rPr>
                <w:rFonts w:ascii="Times New Roman" w:eastAsia="標楷體" w:hAnsi="Times New Roman"/>
                <w:color w:val="000000"/>
                <w:kern w:val="0"/>
                <w:szCs w:val="24"/>
              </w:rPr>
            </w:pPr>
            <w:r w:rsidRPr="0026780F">
              <w:rPr>
                <w:rFonts w:ascii="Times New Roman" w:eastAsia="標楷體" w:hAnsi="Times New Roman" w:hint="eastAsia"/>
                <w:color w:val="000000"/>
                <w:kern w:val="0"/>
                <w:szCs w:val="24"/>
              </w:rPr>
              <w:t>本署現正評估是否針對含該成分藥品採取進一步風險管控措施。</w:t>
            </w:r>
          </w:p>
          <w:p w:rsidR="0026780F" w:rsidRPr="008C2A7F" w:rsidRDefault="0026780F" w:rsidP="0026780F">
            <w:pPr>
              <w:pStyle w:val="a9"/>
              <w:widowControl/>
              <w:shd w:val="clear" w:color="auto" w:fill="FFFFFF"/>
              <w:ind w:leftChars="0"/>
              <w:jc w:val="both"/>
              <w:rPr>
                <w:rFonts w:ascii="Times New Roman" w:eastAsia="標楷體" w:hAnsi="Times New Roman"/>
                <w:color w:val="000000"/>
                <w:kern w:val="0"/>
                <w:szCs w:val="24"/>
              </w:rPr>
            </w:pPr>
          </w:p>
          <w:p w:rsidR="008C2A7F" w:rsidRPr="00D63CDD" w:rsidRDefault="008C2A7F" w:rsidP="008C2A7F">
            <w:pPr>
              <w:pStyle w:val="Web"/>
              <w:spacing w:before="0" w:beforeAutospacing="0" w:after="0" w:afterAutospacing="0" w:line="400" w:lineRule="exact"/>
              <w:rPr>
                <w:rFonts w:ascii="Times New Roman" w:eastAsia="標楷體" w:hAnsi="Times New Roman" w:cs="Times New Roman"/>
                <w:b/>
                <w:color w:val="000000"/>
              </w:rPr>
            </w:pPr>
            <w:r w:rsidRPr="008D7A92">
              <w:rPr>
                <w:rFonts w:ascii="標楷體" w:eastAsia="標楷體" w:hAnsi="標楷體" w:cs="Times New Roman" w:hint="eastAsia"/>
                <w:bCs/>
                <w:color w:val="000000"/>
              </w:rPr>
              <w:t>◎</w:t>
            </w:r>
            <w:r w:rsidRPr="008D7A92">
              <w:rPr>
                <w:rFonts w:ascii="Times New Roman" w:eastAsia="標楷體" w:hAnsi="Times New Roman" w:cs="Times New Roman" w:hint="eastAsia"/>
                <w:b/>
                <w:bCs/>
                <w:color w:val="000000"/>
              </w:rPr>
              <w:t xml:space="preserve"> </w:t>
            </w:r>
            <w:r w:rsidRPr="00D63CDD">
              <w:rPr>
                <w:rFonts w:ascii="Times New Roman" w:eastAsia="標楷體" w:hAnsi="Times New Roman" w:cs="Times New Roman"/>
                <w:b/>
                <w:bCs/>
                <w:color w:val="000000"/>
                <w:u w:val="single"/>
              </w:rPr>
              <w:t>醫療人員</w:t>
            </w:r>
            <w:r w:rsidRPr="00D63CDD">
              <w:rPr>
                <w:rFonts w:ascii="Times New Roman" w:eastAsia="標楷體" w:hAnsi="Times New Roman" w:cs="Times New Roman"/>
                <w:b/>
                <w:color w:val="000000"/>
              </w:rPr>
              <w:t>應注意事項：</w:t>
            </w:r>
          </w:p>
          <w:p w:rsidR="008C2A7F" w:rsidRPr="0015133E" w:rsidRDefault="008C2A7F" w:rsidP="0015133E">
            <w:pPr>
              <w:pStyle w:val="a9"/>
              <w:widowControl/>
              <w:numPr>
                <w:ilvl w:val="0"/>
                <w:numId w:val="21"/>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不論病人是否患有高血壓，全身性投予血管內皮生長因子路徑抑制</w:t>
            </w:r>
            <w:r w:rsidRPr="0015133E">
              <w:rPr>
                <w:rFonts w:ascii="Times New Roman" w:eastAsia="標楷體" w:hAnsi="Times New Roman"/>
                <w:color w:val="000000"/>
                <w:kern w:val="0"/>
                <w:szCs w:val="24"/>
              </w:rPr>
              <w:t>劑</w:t>
            </w:r>
            <w:r w:rsidRPr="0015133E">
              <w:rPr>
                <w:rFonts w:ascii="Times New Roman" w:eastAsia="標楷體" w:hAnsi="Times New Roman" w:hint="eastAsia"/>
                <w:color w:val="000000"/>
                <w:kern w:val="0"/>
                <w:szCs w:val="24"/>
              </w:rPr>
              <w:t>類藥品都可能有促進動脈瘤生成和動脈剝離的風險。</w:t>
            </w:r>
          </w:p>
          <w:p w:rsidR="008C2A7F" w:rsidRPr="0015133E" w:rsidRDefault="008C2A7F" w:rsidP="0015133E">
            <w:pPr>
              <w:pStyle w:val="a9"/>
              <w:widowControl/>
              <w:numPr>
                <w:ilvl w:val="0"/>
                <w:numId w:val="21"/>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病人使用全身性投予血管內皮生長因子路徑抑制</w:t>
            </w:r>
            <w:r w:rsidRPr="0015133E">
              <w:rPr>
                <w:rFonts w:ascii="Times New Roman" w:eastAsia="標楷體" w:hAnsi="Times New Roman"/>
                <w:color w:val="000000"/>
                <w:kern w:val="0"/>
                <w:szCs w:val="24"/>
              </w:rPr>
              <w:t>劑</w:t>
            </w:r>
            <w:r w:rsidRPr="0015133E">
              <w:rPr>
                <w:rFonts w:ascii="Times New Roman" w:eastAsia="標楷體" w:hAnsi="Times New Roman" w:hint="eastAsia"/>
                <w:color w:val="000000"/>
                <w:kern w:val="0"/>
                <w:szCs w:val="24"/>
              </w:rPr>
              <w:t>後發生動脈瘤或動脈剝離之情形並不常見，但卻有致死的案例，主要與主動脈瘤破裂和主動脈剝離有關。</w:t>
            </w:r>
          </w:p>
          <w:p w:rsidR="008C2A7F" w:rsidRPr="0015133E" w:rsidRDefault="008C2A7F" w:rsidP="0015133E">
            <w:pPr>
              <w:pStyle w:val="a9"/>
              <w:widowControl/>
              <w:numPr>
                <w:ilvl w:val="0"/>
                <w:numId w:val="21"/>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在開始使用此類藥品於具風險因子之病人前應審慎考量動脈瘤和動脈剝離風險，這些風險因子包含高血壓、動脈瘤病史或家族</w:t>
            </w:r>
            <w:r w:rsidRPr="0015133E">
              <w:rPr>
                <w:rFonts w:ascii="Times New Roman" w:eastAsia="標楷體" w:hAnsi="Times New Roman" w:hint="eastAsia"/>
                <w:color w:val="000000"/>
                <w:kern w:val="0"/>
                <w:szCs w:val="24"/>
              </w:rPr>
              <w:lastRenderedPageBreak/>
              <w:t>史、吸菸、糖尿病、冠狀動脈疾病、腦血管或周邊動脈疾病、高脂血症等，其他風險因子尚包含馬凡氏症候群（</w:t>
            </w:r>
            <w:r w:rsidRPr="0015133E">
              <w:rPr>
                <w:rFonts w:ascii="Times New Roman" w:eastAsia="標楷體" w:hAnsi="Times New Roman" w:hint="eastAsia"/>
                <w:color w:val="000000"/>
                <w:kern w:val="0"/>
                <w:szCs w:val="24"/>
              </w:rPr>
              <w:t>M</w:t>
            </w:r>
            <w:r w:rsidRPr="0015133E">
              <w:rPr>
                <w:rFonts w:ascii="Times New Roman" w:eastAsia="標楷體" w:hAnsi="Times New Roman"/>
                <w:color w:val="000000"/>
                <w:kern w:val="0"/>
                <w:szCs w:val="24"/>
              </w:rPr>
              <w:t>arfan syndrome</w:t>
            </w:r>
            <w:r w:rsidRPr="0015133E">
              <w:rPr>
                <w:rFonts w:ascii="Times New Roman" w:eastAsia="標楷體" w:hAnsi="Times New Roman" w:hint="eastAsia"/>
                <w:color w:val="000000"/>
                <w:kern w:val="0"/>
                <w:szCs w:val="24"/>
              </w:rPr>
              <w:t>）、血管型</w:t>
            </w:r>
            <w:r w:rsidRPr="0015133E">
              <w:rPr>
                <w:rFonts w:ascii="Times New Roman" w:eastAsia="標楷體" w:hAnsi="Times New Roman"/>
                <w:color w:val="000000"/>
                <w:kern w:val="0"/>
                <w:szCs w:val="24"/>
              </w:rPr>
              <w:t>埃勒斯</w:t>
            </w:r>
            <w:r w:rsidRPr="0015133E">
              <w:rPr>
                <w:rFonts w:ascii="Times New Roman" w:eastAsia="標楷體" w:hAnsi="Times New Roman"/>
                <w:color w:val="000000"/>
                <w:kern w:val="0"/>
                <w:szCs w:val="24"/>
              </w:rPr>
              <w:t>-</w:t>
            </w:r>
            <w:r w:rsidRPr="0015133E">
              <w:rPr>
                <w:rFonts w:ascii="Times New Roman" w:eastAsia="標楷體" w:hAnsi="Times New Roman"/>
                <w:color w:val="000000"/>
                <w:kern w:val="0"/>
                <w:szCs w:val="24"/>
              </w:rPr>
              <w:t>丹洛斯症候群</w:t>
            </w:r>
            <w:r w:rsidRPr="0015133E">
              <w:rPr>
                <w:rFonts w:ascii="Times New Roman" w:eastAsia="標楷體" w:hAnsi="Times New Roman" w:hint="eastAsia"/>
                <w:color w:val="000000"/>
                <w:kern w:val="0"/>
                <w:szCs w:val="24"/>
              </w:rPr>
              <w:t>（</w:t>
            </w:r>
            <w:r w:rsidRPr="0015133E">
              <w:rPr>
                <w:rFonts w:ascii="Times New Roman" w:eastAsia="標楷體" w:hAnsi="Times New Roman"/>
                <w:color w:val="000000"/>
                <w:kern w:val="0"/>
                <w:szCs w:val="24"/>
              </w:rPr>
              <w:t>vascular Ehlers-Danlos syndrome</w:t>
            </w:r>
            <w:r w:rsidRPr="0015133E">
              <w:rPr>
                <w:rFonts w:ascii="Times New Roman" w:eastAsia="標楷體" w:hAnsi="Times New Roman" w:hint="eastAsia"/>
                <w:color w:val="000000"/>
                <w:kern w:val="0"/>
                <w:szCs w:val="24"/>
              </w:rPr>
              <w:t>）、</w:t>
            </w:r>
            <w:r w:rsidRPr="0015133E">
              <w:rPr>
                <w:rFonts w:ascii="Times New Roman" w:eastAsia="標楷體" w:hAnsi="Times New Roman"/>
                <w:color w:val="000000"/>
                <w:kern w:val="0"/>
                <w:szCs w:val="24"/>
              </w:rPr>
              <w:t>高安氏動脈炎</w:t>
            </w:r>
            <w:r w:rsidRPr="0015133E">
              <w:rPr>
                <w:rFonts w:ascii="Times New Roman" w:eastAsia="標楷體" w:hAnsi="Times New Roman" w:hint="eastAsia"/>
                <w:color w:val="000000"/>
                <w:kern w:val="0"/>
                <w:szCs w:val="24"/>
              </w:rPr>
              <w:t>（</w:t>
            </w:r>
            <w:r w:rsidRPr="0015133E">
              <w:rPr>
                <w:rFonts w:ascii="Times New Roman" w:eastAsia="標楷體" w:hAnsi="Times New Roman"/>
                <w:color w:val="000000"/>
                <w:kern w:val="0"/>
                <w:szCs w:val="24"/>
              </w:rPr>
              <w:t>Takayasu arteritis</w:t>
            </w:r>
            <w:r w:rsidRPr="0015133E">
              <w:rPr>
                <w:rFonts w:ascii="Times New Roman" w:eastAsia="標楷體" w:hAnsi="Times New Roman" w:hint="eastAsia"/>
                <w:color w:val="000000"/>
                <w:kern w:val="0"/>
                <w:szCs w:val="24"/>
              </w:rPr>
              <w:t>）、巨細胞</w:t>
            </w:r>
            <w:r w:rsidRPr="0015133E">
              <w:rPr>
                <w:rFonts w:ascii="Times New Roman" w:eastAsia="標楷體" w:hAnsi="Times New Roman"/>
                <w:color w:val="000000"/>
                <w:kern w:val="0"/>
                <w:szCs w:val="24"/>
              </w:rPr>
              <w:t>動脈炎</w:t>
            </w:r>
            <w:r w:rsidRPr="0015133E">
              <w:rPr>
                <w:rFonts w:ascii="Times New Roman" w:eastAsia="標楷體" w:hAnsi="Times New Roman" w:hint="eastAsia"/>
                <w:color w:val="000000"/>
                <w:kern w:val="0"/>
                <w:szCs w:val="24"/>
              </w:rPr>
              <w:t>（</w:t>
            </w:r>
            <w:r w:rsidRPr="0015133E">
              <w:rPr>
                <w:rFonts w:ascii="Times New Roman" w:eastAsia="標楷體" w:hAnsi="Times New Roman" w:hint="eastAsia"/>
                <w:color w:val="000000"/>
                <w:kern w:val="0"/>
                <w:szCs w:val="24"/>
              </w:rPr>
              <w:t>giant cell</w:t>
            </w:r>
            <w:r w:rsidRPr="0015133E">
              <w:rPr>
                <w:rFonts w:ascii="Times New Roman" w:eastAsia="標楷體" w:hAnsi="Times New Roman"/>
                <w:color w:val="000000"/>
                <w:kern w:val="0"/>
                <w:szCs w:val="24"/>
              </w:rPr>
              <w:t xml:space="preserve"> arteritis</w:t>
            </w:r>
            <w:r w:rsidRPr="0015133E">
              <w:rPr>
                <w:rFonts w:ascii="Times New Roman" w:eastAsia="標楷體" w:hAnsi="Times New Roman" w:hint="eastAsia"/>
                <w:color w:val="000000"/>
                <w:kern w:val="0"/>
                <w:szCs w:val="24"/>
              </w:rPr>
              <w:t>）、</w:t>
            </w:r>
            <w:r w:rsidRPr="0015133E">
              <w:rPr>
                <w:rFonts w:ascii="Times New Roman" w:eastAsia="標楷體" w:hAnsi="Times New Roman"/>
                <w:color w:val="000000"/>
                <w:kern w:val="0"/>
                <w:szCs w:val="24"/>
              </w:rPr>
              <w:t>貝賽特氏症</w:t>
            </w:r>
            <w:r w:rsidRPr="0015133E">
              <w:rPr>
                <w:rFonts w:ascii="Times New Roman" w:eastAsia="標楷體" w:hAnsi="Times New Roman" w:hint="eastAsia"/>
                <w:color w:val="000000"/>
                <w:kern w:val="0"/>
                <w:szCs w:val="24"/>
              </w:rPr>
              <w:t>（</w:t>
            </w:r>
            <w:r w:rsidRPr="0015133E">
              <w:rPr>
                <w:rFonts w:ascii="Times New Roman" w:eastAsia="標楷體" w:hAnsi="Times New Roman"/>
                <w:color w:val="000000"/>
                <w:kern w:val="0"/>
                <w:szCs w:val="24"/>
              </w:rPr>
              <w:t>Behcet's disease</w:t>
            </w:r>
            <w:r w:rsidRPr="0015133E">
              <w:rPr>
                <w:rFonts w:ascii="Times New Roman" w:eastAsia="標楷體" w:hAnsi="Times New Roman" w:hint="eastAsia"/>
                <w:color w:val="000000"/>
                <w:kern w:val="0"/>
                <w:szCs w:val="24"/>
              </w:rPr>
              <w:t>）及使用</w:t>
            </w:r>
            <w:r w:rsidRPr="0015133E">
              <w:rPr>
                <w:rFonts w:ascii="Times New Roman" w:eastAsia="標楷體" w:hAnsi="Times New Roman" w:hint="eastAsia"/>
                <w:color w:val="000000"/>
                <w:kern w:val="0"/>
                <w:szCs w:val="24"/>
              </w:rPr>
              <w:t>fluoroquinolone</w:t>
            </w:r>
            <w:r w:rsidRPr="0015133E">
              <w:rPr>
                <w:rFonts w:ascii="Times New Roman" w:eastAsia="標楷體" w:hAnsi="Times New Roman" w:hint="eastAsia"/>
                <w:color w:val="000000"/>
                <w:kern w:val="0"/>
                <w:szCs w:val="24"/>
              </w:rPr>
              <w:t>類藥品。</w:t>
            </w:r>
          </w:p>
          <w:p w:rsidR="008C2A7F" w:rsidRPr="0015133E" w:rsidRDefault="008C2A7F" w:rsidP="0015133E">
            <w:pPr>
              <w:pStyle w:val="a9"/>
              <w:widowControl/>
              <w:numPr>
                <w:ilvl w:val="0"/>
                <w:numId w:val="21"/>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密切監測正在接受全身性投予此類藥品治療之病人並盡可能減少任何可調控之風險因子（如高血壓、抽菸等）。</w:t>
            </w:r>
          </w:p>
          <w:p w:rsidR="008C2A7F" w:rsidRPr="0015133E" w:rsidRDefault="008C2A7F" w:rsidP="0015133E">
            <w:pPr>
              <w:pStyle w:val="a9"/>
              <w:widowControl/>
              <w:numPr>
                <w:ilvl w:val="0"/>
                <w:numId w:val="21"/>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醫療人員應</w:t>
            </w:r>
            <w:r w:rsidRPr="0015133E">
              <w:rPr>
                <w:rFonts w:ascii="Times New Roman" w:eastAsia="標楷體" w:hAnsi="Times New Roman"/>
                <w:color w:val="000000"/>
                <w:kern w:val="0"/>
                <w:szCs w:val="24"/>
              </w:rPr>
              <w:t>告知病人</w:t>
            </w:r>
            <w:r w:rsidRPr="0015133E">
              <w:rPr>
                <w:rFonts w:ascii="Times New Roman" w:eastAsia="標楷體" w:hAnsi="Times New Roman" w:hint="eastAsia"/>
                <w:color w:val="000000"/>
                <w:kern w:val="0"/>
                <w:szCs w:val="24"/>
              </w:rPr>
              <w:t>使用血管內皮生長因子路徑抑制</w:t>
            </w:r>
            <w:r w:rsidRPr="0015133E">
              <w:rPr>
                <w:rFonts w:ascii="Times New Roman" w:eastAsia="標楷體" w:hAnsi="Times New Roman"/>
                <w:color w:val="000000"/>
                <w:kern w:val="0"/>
                <w:szCs w:val="24"/>
              </w:rPr>
              <w:t>劑</w:t>
            </w:r>
            <w:r w:rsidRPr="0015133E">
              <w:rPr>
                <w:rFonts w:ascii="Times New Roman" w:eastAsia="標楷體" w:hAnsi="Times New Roman" w:hint="eastAsia"/>
                <w:color w:val="000000"/>
                <w:kern w:val="0"/>
                <w:szCs w:val="24"/>
              </w:rPr>
              <w:t>類藥品之</w:t>
            </w:r>
            <w:r w:rsidRPr="0015133E">
              <w:rPr>
                <w:rFonts w:ascii="Times New Roman" w:eastAsia="標楷體" w:hAnsi="Times New Roman"/>
                <w:color w:val="000000"/>
                <w:kern w:val="0"/>
                <w:szCs w:val="24"/>
              </w:rPr>
              <w:t>風險</w:t>
            </w:r>
            <w:r w:rsidRPr="0015133E">
              <w:rPr>
                <w:rFonts w:ascii="Times New Roman" w:eastAsia="標楷體" w:hAnsi="Times New Roman" w:hint="eastAsia"/>
                <w:color w:val="000000"/>
                <w:kern w:val="0"/>
                <w:szCs w:val="24"/>
              </w:rPr>
              <w:t>，並告知病人若用藥期間有任何不適，應尋求醫療協助。</w:t>
            </w:r>
          </w:p>
          <w:p w:rsidR="008C2A7F" w:rsidRPr="00990602" w:rsidRDefault="008C2A7F" w:rsidP="008C2A7F">
            <w:pPr>
              <w:pStyle w:val="Web"/>
              <w:spacing w:before="0" w:beforeAutospacing="0" w:after="0" w:afterAutospacing="0" w:line="400" w:lineRule="exact"/>
              <w:jc w:val="both"/>
              <w:rPr>
                <w:rFonts w:ascii="Times New Roman" w:eastAsia="標楷體" w:hAnsi="Times New Roman" w:cs="Times New Roman"/>
                <w:b/>
                <w:color w:val="000000"/>
              </w:rPr>
            </w:pPr>
          </w:p>
          <w:p w:rsidR="008C2A7F" w:rsidRPr="00D63CDD" w:rsidRDefault="008C2A7F" w:rsidP="008C2A7F">
            <w:pPr>
              <w:pStyle w:val="Web"/>
              <w:spacing w:before="0" w:beforeAutospacing="0" w:after="0" w:afterAutospacing="0" w:line="400" w:lineRule="exact"/>
              <w:rPr>
                <w:rFonts w:ascii="Times New Roman" w:eastAsia="標楷體" w:hAnsi="Times New Roman" w:cs="Times New Roman"/>
              </w:rPr>
            </w:pPr>
            <w:r w:rsidRPr="008D7A92">
              <w:rPr>
                <w:rFonts w:ascii="標楷體" w:eastAsia="標楷體" w:hAnsi="標楷體" w:cs="Times New Roman" w:hint="eastAsia"/>
                <w:bCs/>
                <w:color w:val="000000"/>
              </w:rPr>
              <w:t>◎</w:t>
            </w:r>
            <w:r w:rsidRPr="008D7A92">
              <w:rPr>
                <w:rFonts w:ascii="標楷體" w:eastAsia="標楷體" w:hAnsi="標楷體" w:cs="Times New Roman" w:hint="eastAsia"/>
                <w:b/>
                <w:bCs/>
                <w:color w:val="000000"/>
              </w:rPr>
              <w:t xml:space="preserve"> </w:t>
            </w:r>
            <w:r w:rsidRPr="00D63CDD">
              <w:rPr>
                <w:rFonts w:ascii="Times New Roman" w:eastAsia="標楷體" w:hAnsi="Times New Roman" w:cs="Times New Roman"/>
                <w:b/>
                <w:bCs/>
                <w:u w:val="single"/>
              </w:rPr>
              <w:t>病人</w:t>
            </w:r>
            <w:r w:rsidRPr="00D63CDD">
              <w:rPr>
                <w:rFonts w:ascii="Times New Roman" w:eastAsia="標楷體" w:hAnsi="Times New Roman" w:cs="Times New Roman"/>
                <w:b/>
              </w:rPr>
              <w:t>應注意事項</w:t>
            </w:r>
            <w:r w:rsidRPr="00D63CDD">
              <w:rPr>
                <w:rFonts w:ascii="Times New Roman" w:eastAsia="標楷體" w:hAnsi="Times New Roman" w:cs="Times New Roman"/>
              </w:rPr>
              <w:t>：</w:t>
            </w:r>
          </w:p>
          <w:p w:rsidR="008C2A7F" w:rsidRPr="0015133E" w:rsidRDefault="008C2A7F" w:rsidP="000973BD">
            <w:pPr>
              <w:pStyle w:val="a9"/>
              <w:widowControl/>
              <w:numPr>
                <w:ilvl w:val="0"/>
                <w:numId w:val="23"/>
              </w:numPr>
              <w:shd w:val="clear" w:color="auto" w:fill="FFFFFF"/>
              <w:ind w:leftChars="0"/>
              <w:jc w:val="both"/>
              <w:rPr>
                <w:rFonts w:ascii="Times New Roman" w:eastAsia="標楷體" w:hAnsi="Times New Roman"/>
                <w:color w:val="000000"/>
                <w:kern w:val="0"/>
                <w:szCs w:val="24"/>
              </w:rPr>
            </w:pPr>
            <w:bookmarkStart w:id="0" w:name="_GoBack"/>
            <w:bookmarkEnd w:id="0"/>
            <w:r w:rsidRPr="0015133E">
              <w:rPr>
                <w:rFonts w:ascii="Times New Roman" w:eastAsia="標楷體" w:hAnsi="Times New Roman" w:hint="eastAsia"/>
                <w:color w:val="000000"/>
                <w:kern w:val="0"/>
                <w:szCs w:val="24"/>
              </w:rPr>
              <w:t>就醫時應主動告知醫療人員自身病史及用藥史，醫師將進一步評估您的用藥。</w:t>
            </w:r>
          </w:p>
          <w:p w:rsidR="008C2A7F" w:rsidRPr="0015133E" w:rsidRDefault="008C2A7F" w:rsidP="000973BD">
            <w:pPr>
              <w:pStyle w:val="a9"/>
              <w:widowControl/>
              <w:numPr>
                <w:ilvl w:val="0"/>
                <w:numId w:val="23"/>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若服藥後出現任何可能為動脈瘤破裂或動脈剝離之相關徵兆或症狀，例如突然且劇烈的腹痛、胸痛或背痛，請立即尋求醫療協助。</w:t>
            </w:r>
          </w:p>
          <w:p w:rsidR="008C2A7F" w:rsidRPr="0015133E" w:rsidRDefault="008C2A7F" w:rsidP="000973BD">
            <w:pPr>
              <w:pStyle w:val="a9"/>
              <w:widowControl/>
              <w:numPr>
                <w:ilvl w:val="0"/>
                <w:numId w:val="23"/>
              </w:numPr>
              <w:shd w:val="clear" w:color="auto" w:fill="FFFFFF"/>
              <w:ind w:leftChars="0"/>
              <w:jc w:val="both"/>
              <w:rPr>
                <w:rFonts w:ascii="Times New Roman" w:eastAsia="標楷體" w:hAnsi="Times New Roman"/>
                <w:color w:val="000000"/>
                <w:kern w:val="0"/>
                <w:szCs w:val="24"/>
              </w:rPr>
            </w:pPr>
            <w:r w:rsidRPr="0015133E">
              <w:rPr>
                <w:rFonts w:ascii="Times New Roman" w:eastAsia="標楷體" w:hAnsi="Times New Roman" w:hint="eastAsia"/>
                <w:color w:val="000000"/>
                <w:kern w:val="0"/>
                <w:szCs w:val="24"/>
              </w:rPr>
              <w:t>若您對用藥有任何疑問請諮詢醫療人員，切勿於諮詢醫療人員前自行停藥。</w:t>
            </w:r>
            <w:r w:rsidRPr="0015133E">
              <w:rPr>
                <w:rFonts w:ascii="Times New Roman" w:eastAsia="標楷體" w:hAnsi="Times New Roman"/>
                <w:color w:val="000000"/>
                <w:kern w:val="0"/>
                <w:szCs w:val="24"/>
              </w:rPr>
              <w:t xml:space="preserve"> </w:t>
            </w:r>
          </w:p>
          <w:p w:rsidR="008C2A7F" w:rsidRPr="00932D40" w:rsidRDefault="008C2A7F" w:rsidP="008C2A7F">
            <w:pPr>
              <w:pStyle w:val="Web"/>
              <w:spacing w:before="0" w:beforeAutospacing="0" w:after="0" w:afterAutospacing="0" w:line="400" w:lineRule="exact"/>
              <w:jc w:val="both"/>
              <w:rPr>
                <w:rFonts w:ascii="Times New Roman" w:eastAsia="標楷體" w:hAnsi="Times New Roman"/>
                <w:color w:val="000000" w:themeColor="text1"/>
              </w:rPr>
            </w:pPr>
          </w:p>
          <w:p w:rsidR="008C2A7F" w:rsidRPr="008C2A7F" w:rsidRDefault="008C2A7F" w:rsidP="008C2A7F">
            <w:pPr>
              <w:widowControl/>
              <w:shd w:val="clear" w:color="auto" w:fill="FFFFFF"/>
              <w:jc w:val="both"/>
              <w:rPr>
                <w:rFonts w:ascii="Times New Roman" w:eastAsia="標楷體" w:hAnsi="Times New Roman"/>
                <w:szCs w:val="24"/>
              </w:rPr>
            </w:pPr>
            <w:r w:rsidRPr="00D63CDD">
              <w:rPr>
                <w:rFonts w:ascii="Times New Roman" w:eastAsia="標楷體" w:hAnsi="標楷體" w:hint="eastAsia"/>
              </w:rPr>
              <w:t>醫療人員或病人懷疑因為使用（</w:t>
            </w:r>
            <w:r>
              <w:rPr>
                <w:rFonts w:ascii="Times New Roman" w:eastAsia="標楷體" w:hAnsi="標楷體" w:hint="eastAsia"/>
              </w:rPr>
              <w:t>服</w:t>
            </w:r>
            <w:r w:rsidRPr="00D63CDD">
              <w:rPr>
                <w:rFonts w:ascii="Times New Roman" w:eastAsia="標楷體" w:hAnsi="標楷體" w:hint="eastAsia"/>
              </w:rPr>
              <w:t>用）藥品導致不良反應發生時，請立即通報給衛生福利部所建置之全國藥物不良反應通報中心，並副知所屬廠商，藥物不良反應通報專線</w:t>
            </w:r>
            <w:r w:rsidRPr="00D63CDD">
              <w:rPr>
                <w:rFonts w:ascii="Times New Roman" w:eastAsia="標楷體"/>
              </w:rPr>
              <w:t>02-2396-0100</w:t>
            </w:r>
            <w:r w:rsidRPr="00D63CDD">
              <w:rPr>
                <w:rFonts w:ascii="Times New Roman" w:eastAsia="標楷體" w:hAnsi="標楷體" w:hint="eastAsia"/>
              </w:rPr>
              <w:t>，網站：</w:t>
            </w:r>
            <w:hyperlink r:id="rId10" w:history="1">
              <w:r w:rsidRPr="00E66220">
                <w:rPr>
                  <w:rStyle w:val="ab"/>
                  <w:rFonts w:ascii="Times New Roman" w:eastAsia="標楷體"/>
                </w:rPr>
                <w:t>http</w:t>
              </w:r>
              <w:r w:rsidRPr="00E66220">
                <w:rPr>
                  <w:rStyle w:val="ab"/>
                  <w:rFonts w:ascii="Times New Roman" w:eastAsia="標楷體" w:hint="eastAsia"/>
                </w:rPr>
                <w:t>s</w:t>
              </w:r>
              <w:r w:rsidRPr="00E66220">
                <w:rPr>
                  <w:rStyle w:val="ab"/>
                  <w:rFonts w:ascii="Times New Roman" w:eastAsia="標楷體"/>
                </w:rPr>
                <w:t>://adr.fda.gov.tw</w:t>
              </w:r>
            </w:hyperlink>
            <w:r w:rsidRPr="00D63CDD">
              <w:rPr>
                <w:rFonts w:ascii="Times New Roman" w:eastAsia="標楷體" w:hAnsi="標楷體" w:hint="eastAsia"/>
              </w:rPr>
              <w:t>；衛生福利部食品藥物管理署獲知藥品安全訊息時，均會蒐集彙整相關資料進行評估，並對於新增之藥品風險採取對應之風險管控措施</w:t>
            </w:r>
            <w:r w:rsidRPr="00D63CDD">
              <w:rPr>
                <w:rFonts w:ascii="Times New Roman" w:eastAsia="標楷體" w:hint="eastAsia"/>
              </w:rPr>
              <w:t>。</w:t>
            </w:r>
          </w:p>
        </w:tc>
      </w:tr>
    </w:tbl>
    <w:p w:rsidR="00F60C9D" w:rsidRDefault="00F60C9D">
      <w:pPr>
        <w:widowControl/>
      </w:pPr>
    </w:p>
    <w:p w:rsidR="00EF096D" w:rsidRDefault="00EF096D">
      <w:pPr>
        <w:widowControl/>
      </w:pPr>
    </w:p>
    <w:p w:rsidR="00D221D6" w:rsidRDefault="00D221D6">
      <w:pPr>
        <w:widowControl/>
        <w:sectPr w:rsidR="00D221D6" w:rsidSect="006448FD">
          <w:pgSz w:w="11906" w:h="16838"/>
          <w:pgMar w:top="1440" w:right="1800" w:bottom="1440" w:left="1800" w:header="851" w:footer="992" w:gutter="0"/>
          <w:cols w:space="425"/>
          <w:docGrid w:type="lines" w:linePitch="360"/>
        </w:sectPr>
      </w:pPr>
    </w:p>
    <w:p w:rsidR="000E2809" w:rsidRPr="000E2809" w:rsidRDefault="00D221D6" w:rsidP="0077391B">
      <w:pPr>
        <w:jc w:val="center"/>
        <w:rPr>
          <w:rFonts w:ascii="Times New Roman" w:eastAsia="標楷體" w:hAnsi="Times New Roman"/>
          <w:b/>
          <w:sz w:val="28"/>
          <w:szCs w:val="28"/>
        </w:rPr>
      </w:pPr>
      <w:r w:rsidRPr="00D221D6">
        <w:rPr>
          <w:rFonts w:ascii="Times New Roman" w:eastAsia="標楷體" w:hAnsi="Times New Roman" w:hint="eastAsia"/>
          <w:b/>
          <w:sz w:val="28"/>
          <w:szCs w:val="28"/>
        </w:rPr>
        <w:lastRenderedPageBreak/>
        <w:t>附件</w:t>
      </w:r>
      <w:r w:rsidRPr="00D221D6">
        <w:rPr>
          <w:rFonts w:ascii="Times New Roman" w:eastAsia="標楷體" w:hAnsi="Times New Roman" w:hint="eastAsia"/>
          <w:b/>
          <w:sz w:val="28"/>
          <w:szCs w:val="28"/>
        </w:rPr>
        <w:t xml:space="preserve"> </w:t>
      </w:r>
      <w:r w:rsidRPr="00D221D6">
        <w:rPr>
          <w:rFonts w:ascii="Times New Roman" w:eastAsia="標楷體" w:hAnsi="Times New Roman" w:hint="eastAsia"/>
          <w:b/>
          <w:sz w:val="28"/>
          <w:szCs w:val="28"/>
        </w:rPr>
        <w:t>血管內皮生長因子路徑抑制劑類</w:t>
      </w:r>
      <w:r w:rsidRPr="00D221D6">
        <w:rPr>
          <w:rFonts w:ascii="Times New Roman" w:eastAsia="標楷體" w:hAnsi="Times New Roman"/>
          <w:b/>
          <w:sz w:val="28"/>
          <w:szCs w:val="28"/>
        </w:rPr>
        <w:t>藥品</w:t>
      </w:r>
      <w:r w:rsidRPr="00D221D6">
        <w:rPr>
          <w:rFonts w:ascii="Times New Roman" w:eastAsia="標楷體" w:hAnsi="Times New Roman" w:hint="eastAsia"/>
          <w:b/>
          <w:sz w:val="28"/>
          <w:szCs w:val="28"/>
        </w:rPr>
        <w:t>之作用機轉及適應症</w:t>
      </w:r>
    </w:p>
    <w:tbl>
      <w:tblPr>
        <w:tblStyle w:val="ae"/>
        <w:tblW w:w="15452" w:type="dxa"/>
        <w:tblInd w:w="-318" w:type="dxa"/>
        <w:tblLook w:val="04A0" w:firstRow="1" w:lastRow="0" w:firstColumn="1" w:lastColumn="0" w:noHBand="0" w:noVBand="1"/>
      </w:tblPr>
      <w:tblGrid>
        <w:gridCol w:w="970"/>
        <w:gridCol w:w="14482"/>
      </w:tblGrid>
      <w:tr w:rsidR="00D221D6" w:rsidRPr="00332900" w:rsidTr="00D85BCD">
        <w:tc>
          <w:tcPr>
            <w:tcW w:w="15452" w:type="dxa"/>
            <w:gridSpan w:val="2"/>
            <w:tcBorders>
              <w:top w:val="nil"/>
              <w:left w:val="nil"/>
              <w:right w:val="nil"/>
            </w:tcBorders>
          </w:tcPr>
          <w:p w:rsidR="00D221D6" w:rsidRPr="00F87693" w:rsidRDefault="00F87693" w:rsidP="003555E5">
            <w:pPr>
              <w:pStyle w:val="a9"/>
              <w:widowControl/>
              <w:numPr>
                <w:ilvl w:val="0"/>
                <w:numId w:val="6"/>
              </w:numPr>
              <w:ind w:leftChars="0"/>
              <w:rPr>
                <w:rFonts w:ascii="Times New Roman" w:eastAsia="標楷體" w:hAnsi="Times New Roman"/>
                <w:b/>
              </w:rPr>
            </w:pPr>
            <w:r w:rsidRPr="00F87693">
              <w:rPr>
                <w:rFonts w:ascii="Times New Roman" w:eastAsia="標楷體"/>
                <w:b/>
                <w:bCs/>
                <w:color w:val="000000" w:themeColor="text1"/>
                <w:kern w:val="36"/>
                <w:lang w:bidi="hi-IN"/>
              </w:rPr>
              <w:t>Vandetanib</w:t>
            </w:r>
          </w:p>
        </w:tc>
      </w:tr>
      <w:tr w:rsidR="00D221D6" w:rsidRPr="00386048" w:rsidTr="0058462B">
        <w:tc>
          <w:tcPr>
            <w:tcW w:w="970" w:type="dxa"/>
            <w:vAlign w:val="center"/>
          </w:tcPr>
          <w:p w:rsidR="00D221D6" w:rsidRPr="00386048" w:rsidRDefault="00D221D6" w:rsidP="001A6264">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221D6" w:rsidRPr="00023B86" w:rsidRDefault="002265C2" w:rsidP="00EF4CAF">
            <w:pPr>
              <w:widowControl/>
              <w:rPr>
                <w:rFonts w:ascii="Times New Roman" w:eastAsia="標楷體" w:hAnsi="Times New Roman"/>
              </w:rPr>
            </w:pPr>
            <w:r w:rsidRPr="0003743C">
              <w:rPr>
                <w:rFonts w:ascii="Times New Roman" w:eastAsia="標楷體" w:hAnsi="Times New Roman"/>
              </w:rPr>
              <w:t>Vandetanib</w:t>
            </w:r>
            <w:r w:rsidRPr="0003743C">
              <w:rPr>
                <w:rFonts w:ascii="Times New Roman" w:eastAsia="標楷體" w:hAnsi="Times New Roman"/>
              </w:rPr>
              <w:t>是一種激酶抑制劑。體外試驗顯示</w:t>
            </w:r>
            <w:r w:rsidRPr="0003743C">
              <w:rPr>
                <w:rFonts w:ascii="Times New Roman" w:eastAsia="標楷體" w:hAnsi="Times New Roman"/>
              </w:rPr>
              <w:t xml:space="preserve">vandetanib </w:t>
            </w:r>
            <w:r w:rsidR="0003743C">
              <w:rPr>
                <w:rFonts w:ascii="Times New Roman" w:eastAsia="標楷體" w:hAnsi="Times New Roman" w:hint="eastAsia"/>
              </w:rPr>
              <w:t>能</w:t>
            </w:r>
            <w:r w:rsidR="00EF4CAF">
              <w:rPr>
                <w:rFonts w:ascii="Times New Roman" w:eastAsia="標楷體" w:hAnsi="Times New Roman"/>
              </w:rPr>
              <w:t>抑制酪胺酸激酶活性，</w:t>
            </w:r>
            <w:r w:rsidRPr="0003743C">
              <w:rPr>
                <w:rFonts w:ascii="Times New Roman" w:eastAsia="標楷體" w:hAnsi="Times New Roman"/>
              </w:rPr>
              <w:t>包括表皮生長因子受體</w:t>
            </w:r>
            <w:r w:rsidRPr="0003743C">
              <w:rPr>
                <w:rFonts w:ascii="Times New Roman" w:eastAsia="標楷體" w:hAnsi="Times New Roman"/>
              </w:rPr>
              <w:t>(EGFR)</w:t>
            </w:r>
            <w:r w:rsidRPr="0003743C">
              <w:rPr>
                <w:rFonts w:ascii="Times New Roman" w:eastAsia="標楷體" w:hAnsi="Times New Roman"/>
              </w:rPr>
              <w:t>的成員、血管生長因子受體</w:t>
            </w:r>
            <w:r w:rsidRPr="0003743C">
              <w:rPr>
                <w:rFonts w:ascii="Times New Roman" w:eastAsia="標楷體" w:hAnsi="Times New Roman"/>
              </w:rPr>
              <w:t>(VEGFR)</w:t>
            </w:r>
            <w:r w:rsidRPr="0003743C">
              <w:rPr>
                <w:rFonts w:ascii="Times New Roman" w:eastAsia="標楷體" w:hAnsi="Times New Roman"/>
              </w:rPr>
              <w:t>、轉染重排</w:t>
            </w:r>
            <w:r w:rsidRPr="0003743C">
              <w:rPr>
                <w:rFonts w:ascii="Times New Roman" w:eastAsia="標楷體" w:hAnsi="Times New Roman"/>
              </w:rPr>
              <w:t>(RET)</w:t>
            </w:r>
            <w:r w:rsidRPr="0003743C">
              <w:rPr>
                <w:rFonts w:ascii="Times New Roman" w:eastAsia="標楷體" w:hAnsi="Times New Roman"/>
              </w:rPr>
              <w:t>、蛋白質酪胺酸激酶</w:t>
            </w:r>
            <w:r w:rsidRPr="0003743C">
              <w:rPr>
                <w:rFonts w:ascii="Times New Roman" w:eastAsia="標楷體" w:hAnsi="Times New Roman"/>
              </w:rPr>
              <w:t>(BRK)</w:t>
            </w:r>
            <w:r w:rsidRPr="0003743C">
              <w:rPr>
                <w:rFonts w:ascii="Times New Roman" w:eastAsia="標楷體" w:hAnsi="Times New Roman"/>
              </w:rPr>
              <w:t>的成員、</w:t>
            </w:r>
            <w:r w:rsidRPr="0003743C">
              <w:rPr>
                <w:rFonts w:ascii="Times New Roman" w:eastAsia="標楷體" w:hAnsi="Times New Roman"/>
              </w:rPr>
              <w:t>TIE2</w:t>
            </w:r>
            <w:r w:rsidRPr="0003743C">
              <w:rPr>
                <w:rFonts w:ascii="Times New Roman" w:eastAsia="標楷體" w:hAnsi="Times New Roman"/>
              </w:rPr>
              <w:t>、</w:t>
            </w:r>
            <w:r w:rsidRPr="0003743C">
              <w:rPr>
                <w:rFonts w:ascii="Times New Roman" w:eastAsia="標楷體" w:hAnsi="Times New Roman"/>
              </w:rPr>
              <w:t>EPH</w:t>
            </w:r>
            <w:r w:rsidRPr="0003743C">
              <w:rPr>
                <w:rFonts w:ascii="Times New Roman" w:eastAsia="標楷體" w:hAnsi="Times New Roman"/>
              </w:rPr>
              <w:t>受體激酶家族的成員、和酪胺酸激酶</w:t>
            </w:r>
            <w:r w:rsidR="0003743C">
              <w:rPr>
                <w:rFonts w:ascii="Times New Roman" w:eastAsia="標楷體" w:hAnsi="Times New Roman"/>
              </w:rPr>
              <w:t>Src</w:t>
            </w:r>
            <w:r w:rsidRPr="0003743C">
              <w:rPr>
                <w:rFonts w:ascii="Times New Roman" w:eastAsia="標楷體" w:hAnsi="Times New Roman"/>
              </w:rPr>
              <w:t>成員的活性。這些酪胺酸激酶成員參與正常細胞功能及病理進程，像是腫瘤形成、轉移、腫瘤血管生成、和腫瘤微環境的維持。除此之外，此藥</w:t>
            </w:r>
            <w:r w:rsidRPr="0003743C">
              <w:rPr>
                <w:rFonts w:ascii="Times New Roman" w:eastAsia="標楷體" w:hAnsi="Times New Roman"/>
              </w:rPr>
              <w:t xml:space="preserve">N‐desmethyl </w:t>
            </w:r>
            <w:r w:rsidRPr="0003743C">
              <w:rPr>
                <w:rFonts w:ascii="Times New Roman" w:eastAsia="標楷體" w:hAnsi="Times New Roman"/>
              </w:rPr>
              <w:t>代謝物，呈現</w:t>
            </w:r>
            <w:r w:rsidRPr="0003743C">
              <w:rPr>
                <w:rFonts w:ascii="Times New Roman" w:eastAsia="標楷體" w:hAnsi="Times New Roman"/>
              </w:rPr>
              <w:t>7~17%</w:t>
            </w:r>
            <w:r w:rsidRPr="0003743C">
              <w:rPr>
                <w:rFonts w:ascii="Times New Roman" w:eastAsia="標楷體" w:hAnsi="Times New Roman"/>
              </w:rPr>
              <w:t>的</w:t>
            </w:r>
            <w:r w:rsidRPr="0003743C">
              <w:rPr>
                <w:rFonts w:ascii="Times New Roman" w:eastAsia="標楷體" w:hAnsi="Times New Roman"/>
              </w:rPr>
              <w:t>vandetanib</w:t>
            </w:r>
            <w:r w:rsidRPr="0003743C">
              <w:rPr>
                <w:rFonts w:ascii="Times New Roman" w:eastAsia="標楷體" w:hAnsi="Times New Roman"/>
              </w:rPr>
              <w:t>暴露量，對</w:t>
            </w:r>
            <w:r w:rsidRPr="0003743C">
              <w:rPr>
                <w:rFonts w:ascii="Times New Roman" w:eastAsia="標楷體" w:hAnsi="Times New Roman"/>
              </w:rPr>
              <w:t>VEGF</w:t>
            </w:r>
            <w:r w:rsidRPr="0003743C">
              <w:rPr>
                <w:rFonts w:ascii="Times New Roman" w:eastAsia="標楷體" w:hAnsi="Times New Roman"/>
              </w:rPr>
              <w:t>受體</w:t>
            </w:r>
            <w:r w:rsidRPr="0003743C">
              <w:rPr>
                <w:rFonts w:ascii="Times New Roman" w:eastAsia="標楷體" w:hAnsi="Times New Roman"/>
              </w:rPr>
              <w:t>(KDR and Flt‐1)</w:t>
            </w:r>
            <w:r w:rsidRPr="0003743C">
              <w:rPr>
                <w:rFonts w:ascii="Times New Roman" w:eastAsia="標楷體" w:hAnsi="Times New Roman"/>
              </w:rPr>
              <w:t>及</w:t>
            </w:r>
            <w:r w:rsidRPr="0003743C">
              <w:rPr>
                <w:rFonts w:ascii="Times New Roman" w:eastAsia="標楷體" w:hAnsi="Times New Roman"/>
              </w:rPr>
              <w:t>EGFR</w:t>
            </w:r>
            <w:r w:rsidRPr="0003743C">
              <w:rPr>
                <w:rFonts w:ascii="Times New Roman" w:eastAsia="標楷體" w:hAnsi="Times New Roman"/>
              </w:rPr>
              <w:t>與原型藥具有相似之抑制活性。體外</w:t>
            </w:r>
            <w:r w:rsidR="0003743C">
              <w:rPr>
                <w:rFonts w:ascii="Times New Roman" w:eastAsia="標楷體" w:hAnsi="Times New Roman"/>
              </w:rPr>
              <w:t>vandetanib</w:t>
            </w:r>
            <w:r w:rsidRPr="0003743C">
              <w:rPr>
                <w:rFonts w:ascii="Times New Roman" w:eastAsia="標楷體" w:hAnsi="Times New Roman"/>
              </w:rPr>
              <w:t>抑制腫瘤細胞和內皮細胞中表皮生長因子</w:t>
            </w:r>
            <w:r w:rsidRPr="0003743C">
              <w:rPr>
                <w:rFonts w:ascii="Times New Roman" w:eastAsia="標楷體" w:hAnsi="Times New Roman"/>
              </w:rPr>
              <w:t>(EGF)</w:t>
            </w:r>
            <w:r w:rsidRPr="0003743C">
              <w:rPr>
                <w:rFonts w:ascii="Times New Roman" w:eastAsia="標楷體" w:hAnsi="Times New Roman"/>
              </w:rPr>
              <w:t>刺激的受體酪胺酸激酶磷酸化，和內皮細胞中</w:t>
            </w:r>
            <w:r w:rsidRPr="0003743C">
              <w:rPr>
                <w:rFonts w:ascii="Times New Roman" w:eastAsia="標楷體" w:hAnsi="Times New Roman"/>
              </w:rPr>
              <w:t>VEGF</w:t>
            </w:r>
            <w:r w:rsidRPr="0003743C">
              <w:rPr>
                <w:rFonts w:ascii="Times New Roman" w:eastAsia="標楷體" w:hAnsi="Times New Roman"/>
              </w:rPr>
              <w:t>刺激的酪胺酸激酶磷酸化。在體外血管生成模型中，</w:t>
            </w:r>
            <w:r w:rsidR="0003743C">
              <w:rPr>
                <w:rFonts w:ascii="Times New Roman" w:eastAsia="標楷體" w:hAnsi="Times New Roman"/>
              </w:rPr>
              <w:t>vandetanib</w:t>
            </w:r>
            <w:r w:rsidRPr="0003743C">
              <w:rPr>
                <w:rFonts w:ascii="Times New Roman" w:eastAsia="標楷體" w:hAnsi="Times New Roman"/>
              </w:rPr>
              <w:t>抑制內皮細胞遷移、增殖、生存和新血管生成。在活體小鼠腫瘤模型中，給予</w:t>
            </w:r>
            <w:r w:rsidRPr="0003743C">
              <w:rPr>
                <w:rFonts w:ascii="Times New Roman" w:eastAsia="標楷體" w:hAnsi="Times New Roman"/>
              </w:rPr>
              <w:t>vandetanib</w:t>
            </w:r>
            <w:r w:rsidRPr="0003743C">
              <w:rPr>
                <w:rFonts w:ascii="Times New Roman" w:eastAsia="標楷體" w:hAnsi="Times New Roman"/>
              </w:rPr>
              <w:t>減少腫瘤細胞誘導的血管生成、腫瘤血管通透性、</w:t>
            </w:r>
            <w:r w:rsidR="00EF4CAF">
              <w:rPr>
                <w:rFonts w:ascii="Times New Roman" w:eastAsia="標楷體" w:hAnsi="Times New Roman"/>
              </w:rPr>
              <w:t>抑制腫瘤生長和轉移</w:t>
            </w:r>
            <w:r w:rsidR="00D221D6" w:rsidRPr="0003743C">
              <w:rPr>
                <w:rFonts w:ascii="Times New Roman" w:eastAsia="標楷體" w:hAnsi="Times New Roman" w:hint="eastAsia"/>
              </w:rPr>
              <w:t>。</w:t>
            </w:r>
          </w:p>
        </w:tc>
      </w:tr>
      <w:tr w:rsidR="00D221D6" w:rsidRPr="00386048" w:rsidTr="0058462B">
        <w:tc>
          <w:tcPr>
            <w:tcW w:w="970" w:type="dxa"/>
            <w:tcBorders>
              <w:bottom w:val="single" w:sz="4" w:space="0" w:color="auto"/>
            </w:tcBorders>
            <w:vAlign w:val="center"/>
          </w:tcPr>
          <w:p w:rsidR="00D221D6" w:rsidRPr="00386048" w:rsidRDefault="00D221D6" w:rsidP="001A6264">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221D6" w:rsidRPr="002265C2" w:rsidRDefault="002265C2" w:rsidP="002265C2">
            <w:pPr>
              <w:widowControl/>
              <w:rPr>
                <w:rFonts w:ascii="Times New Roman" w:eastAsia="標楷體" w:hAnsi="Times New Roman"/>
              </w:rPr>
            </w:pPr>
            <w:r w:rsidRPr="002265C2">
              <w:rPr>
                <w:rFonts w:ascii="Times New Roman" w:eastAsia="標楷體" w:hAnsi="Times New Roman"/>
              </w:rPr>
              <w:t>適用於治療無法進行手術切除的局部侵犯或轉移性甲狀腺髓質癌，並且為症狀性及疾病侵襲性的患者</w:t>
            </w:r>
            <w:r w:rsidRPr="002265C2">
              <w:rPr>
                <w:rFonts w:ascii="Times New Roman" w:eastAsia="標楷體" w:hAnsi="Times New Roman"/>
              </w:rPr>
              <w:t>(aggressive and symptomatic medullary thyroid cancer (MTC) in patients with unresectable locally advanced or metastatic disease)</w:t>
            </w:r>
            <w:r w:rsidR="00D221D6" w:rsidRPr="002265C2">
              <w:rPr>
                <w:rFonts w:ascii="Times New Roman" w:eastAsia="標楷體" w:hAnsi="Times New Roman" w:hint="eastAsia"/>
              </w:rPr>
              <w:t>。</w:t>
            </w:r>
          </w:p>
        </w:tc>
      </w:tr>
      <w:tr w:rsidR="00D221D6" w:rsidRPr="00332900" w:rsidTr="002265C2">
        <w:tc>
          <w:tcPr>
            <w:tcW w:w="15452" w:type="dxa"/>
            <w:gridSpan w:val="2"/>
            <w:tcBorders>
              <w:left w:val="nil"/>
              <w:right w:val="nil"/>
            </w:tcBorders>
          </w:tcPr>
          <w:p w:rsidR="00D221D6" w:rsidRPr="0001660E" w:rsidRDefault="0001660E"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Cabozantinib</w:t>
            </w:r>
          </w:p>
        </w:tc>
      </w:tr>
      <w:tr w:rsidR="00D221D6" w:rsidRPr="00386048" w:rsidTr="0058462B">
        <w:tc>
          <w:tcPr>
            <w:tcW w:w="970" w:type="dxa"/>
            <w:vAlign w:val="center"/>
          </w:tcPr>
          <w:p w:rsidR="00D221D6" w:rsidRPr="00386048" w:rsidRDefault="00D221D6" w:rsidP="001A6264">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221D6" w:rsidRPr="00386048" w:rsidRDefault="00B65817" w:rsidP="001A6264">
            <w:pPr>
              <w:widowControl/>
              <w:rPr>
                <w:rFonts w:ascii="Times New Roman" w:eastAsia="標楷體" w:hAnsi="Times New Roman"/>
              </w:rPr>
            </w:pPr>
            <w:r>
              <w:rPr>
                <w:rFonts w:ascii="Times New Roman" w:eastAsia="標楷體" w:hAnsi="Times New Roman" w:hint="eastAsia"/>
              </w:rPr>
              <w:t>體外生化及</w:t>
            </w:r>
            <w:r>
              <w:rPr>
                <w:rFonts w:ascii="Times New Roman" w:eastAsia="標楷體" w:hAnsi="Times New Roman" w:hint="eastAsia"/>
              </w:rPr>
              <w:t>/</w:t>
            </w:r>
            <w:r>
              <w:rPr>
                <w:rFonts w:ascii="Times New Roman" w:eastAsia="標楷體" w:hAnsi="Times New Roman" w:hint="eastAsia"/>
              </w:rPr>
              <w:t>或細胞分析顯示，</w:t>
            </w:r>
            <w:r>
              <w:rPr>
                <w:rFonts w:ascii="Times New Roman" w:eastAsia="標楷體" w:hAnsi="Times New Roman" w:hint="eastAsia"/>
              </w:rPr>
              <w:t>cabozantinib</w:t>
            </w:r>
            <w:r>
              <w:rPr>
                <w:rFonts w:ascii="Times New Roman" w:eastAsia="標楷體" w:hAnsi="Times New Roman" w:hint="eastAsia"/>
              </w:rPr>
              <w:t>會抑制酪胺酸</w:t>
            </w:r>
            <w:r w:rsidR="0058462B">
              <w:rPr>
                <w:rFonts w:ascii="Times New Roman" w:eastAsia="標楷體" w:hAnsi="Times New Roman" w:hint="eastAsia"/>
              </w:rPr>
              <w:t>激酶活性</w:t>
            </w:r>
            <w:r w:rsidR="0058462B">
              <w:rPr>
                <w:rFonts w:ascii="Times New Roman" w:eastAsia="標楷體" w:hAnsi="Times New Roman" w:hint="eastAsia"/>
              </w:rPr>
              <w:t>(</w:t>
            </w:r>
            <w:r w:rsidR="0058462B">
              <w:rPr>
                <w:rFonts w:ascii="Times New Roman" w:eastAsia="標楷體" w:hAnsi="Times New Roman"/>
              </w:rPr>
              <w:t>tyrosine kinase activity</w:t>
            </w:r>
            <w:r w:rsidR="0058462B">
              <w:rPr>
                <w:rFonts w:ascii="Times New Roman" w:eastAsia="標楷體" w:hAnsi="Times New Roman" w:hint="eastAsia"/>
              </w:rPr>
              <w:t>)</w:t>
            </w:r>
            <w:r w:rsidR="0058462B">
              <w:rPr>
                <w:rFonts w:ascii="Times New Roman" w:eastAsia="標楷體" w:hAnsi="Times New Roman" w:hint="eastAsia"/>
              </w:rPr>
              <w:t>，包含</w:t>
            </w:r>
            <w:r>
              <w:rPr>
                <w:rFonts w:ascii="Times New Roman" w:eastAsia="標楷體" w:hAnsi="Times New Roman" w:hint="eastAsia"/>
              </w:rPr>
              <w:t>MET(</w:t>
            </w:r>
            <w:r>
              <w:rPr>
                <w:rFonts w:ascii="Times New Roman" w:eastAsia="標楷體" w:hAnsi="Times New Roman" w:hint="eastAsia"/>
              </w:rPr>
              <w:t>肝細胞生長因子受體蛋白</w:t>
            </w:r>
            <w:r>
              <w:rPr>
                <w:rFonts w:ascii="Times New Roman" w:eastAsia="標楷體" w:hAnsi="Times New Roman" w:hint="eastAsia"/>
              </w:rPr>
              <w:t>)</w:t>
            </w:r>
            <w:r>
              <w:rPr>
                <w:rFonts w:ascii="Times New Roman" w:eastAsia="標楷體" w:hAnsi="Times New Roman" w:hint="eastAsia"/>
              </w:rPr>
              <w:t>、</w:t>
            </w:r>
            <w:r>
              <w:rPr>
                <w:rFonts w:ascii="Times New Roman" w:eastAsia="標楷體" w:hAnsi="Times New Roman" w:hint="eastAsia"/>
              </w:rPr>
              <w:t>VEGFR</w:t>
            </w:r>
            <w:r>
              <w:rPr>
                <w:rFonts w:ascii="Times New Roman" w:eastAsia="標楷體" w:hAnsi="Times New Roman"/>
              </w:rPr>
              <w:t>-1</w:t>
            </w:r>
            <w:r>
              <w:rPr>
                <w:rFonts w:ascii="Times New Roman" w:eastAsia="標楷體" w:hAnsi="Times New Roman" w:hint="eastAsia"/>
              </w:rPr>
              <w:t>(</w:t>
            </w:r>
            <w:r>
              <w:rPr>
                <w:rFonts w:ascii="Times New Roman" w:eastAsia="標楷體" w:hAnsi="Times New Roman" w:hint="eastAsia"/>
              </w:rPr>
              <w:t>血管內皮生長因子受體</w:t>
            </w:r>
            <w:r>
              <w:rPr>
                <w:rFonts w:ascii="Times New Roman" w:eastAsia="標楷體" w:hAnsi="Times New Roman" w:hint="eastAsia"/>
              </w:rPr>
              <w:t>-1)</w:t>
            </w:r>
            <w:r>
              <w:rPr>
                <w:rFonts w:ascii="Times New Roman" w:eastAsia="標楷體" w:hAnsi="Times New Roman" w:hint="eastAsia"/>
              </w:rPr>
              <w:t>、</w:t>
            </w:r>
            <w:r>
              <w:rPr>
                <w:rFonts w:ascii="Times New Roman" w:eastAsia="標楷體" w:hAnsi="Times New Roman" w:hint="eastAsia"/>
              </w:rPr>
              <w:t>VEGFR</w:t>
            </w:r>
            <w:r>
              <w:rPr>
                <w:rFonts w:ascii="Times New Roman" w:eastAsia="標楷體" w:hAnsi="Times New Roman"/>
              </w:rPr>
              <w:t>-</w:t>
            </w:r>
            <w:r>
              <w:rPr>
                <w:rFonts w:ascii="Times New Roman" w:eastAsia="標楷體" w:hAnsi="Times New Roman" w:hint="eastAsia"/>
              </w:rPr>
              <w:t>2</w:t>
            </w:r>
            <w:r>
              <w:rPr>
                <w:rFonts w:ascii="Times New Roman" w:eastAsia="標楷體" w:hAnsi="Times New Roman" w:hint="eastAsia"/>
              </w:rPr>
              <w:t>、</w:t>
            </w:r>
            <w:r>
              <w:rPr>
                <w:rFonts w:ascii="Times New Roman" w:eastAsia="標楷體" w:hAnsi="Times New Roman" w:hint="eastAsia"/>
              </w:rPr>
              <w:t>VEGFR</w:t>
            </w:r>
            <w:r>
              <w:rPr>
                <w:rFonts w:ascii="Times New Roman" w:eastAsia="標楷體" w:hAnsi="Times New Roman"/>
              </w:rPr>
              <w:t>-</w:t>
            </w:r>
            <w:r>
              <w:rPr>
                <w:rFonts w:ascii="Times New Roman" w:eastAsia="標楷體" w:hAnsi="Times New Roman" w:hint="eastAsia"/>
              </w:rPr>
              <w:t>3</w:t>
            </w:r>
            <w:r>
              <w:rPr>
                <w:rFonts w:ascii="Times New Roman" w:eastAsia="標楷體" w:hAnsi="Times New Roman" w:hint="eastAsia"/>
              </w:rPr>
              <w:t>、</w:t>
            </w:r>
            <w:r>
              <w:rPr>
                <w:rFonts w:ascii="Times New Roman" w:eastAsia="標楷體" w:hAnsi="Times New Roman" w:hint="eastAsia"/>
              </w:rPr>
              <w:t>AXL</w:t>
            </w:r>
            <w:r>
              <w:rPr>
                <w:rFonts w:ascii="Times New Roman" w:eastAsia="標楷體" w:hAnsi="Times New Roman" w:hint="eastAsia"/>
              </w:rPr>
              <w:t>、</w:t>
            </w:r>
            <w:r>
              <w:rPr>
                <w:rFonts w:ascii="Times New Roman" w:eastAsia="標楷體" w:hAnsi="Times New Roman" w:hint="eastAsia"/>
              </w:rPr>
              <w:t>RET</w:t>
            </w:r>
            <w:r>
              <w:rPr>
                <w:rFonts w:ascii="Times New Roman" w:eastAsia="標楷體" w:hAnsi="Times New Roman" w:hint="eastAsia"/>
              </w:rPr>
              <w:t>、</w:t>
            </w:r>
            <w:r>
              <w:rPr>
                <w:rFonts w:ascii="Times New Roman" w:eastAsia="標楷體" w:hAnsi="Times New Roman" w:hint="eastAsia"/>
              </w:rPr>
              <w:t>ROS1</w:t>
            </w:r>
            <w:r>
              <w:rPr>
                <w:rFonts w:ascii="Times New Roman" w:eastAsia="標楷體" w:hAnsi="Times New Roman" w:hint="eastAsia"/>
              </w:rPr>
              <w:t>、</w:t>
            </w:r>
            <w:r>
              <w:rPr>
                <w:rFonts w:ascii="Times New Roman" w:eastAsia="標楷體" w:hAnsi="Times New Roman" w:hint="eastAsia"/>
              </w:rPr>
              <w:t>TYRO3</w:t>
            </w:r>
            <w:r>
              <w:rPr>
                <w:rFonts w:ascii="Times New Roman" w:eastAsia="標楷體" w:hAnsi="Times New Roman" w:hint="eastAsia"/>
              </w:rPr>
              <w:t>、</w:t>
            </w:r>
            <w:r>
              <w:rPr>
                <w:rFonts w:ascii="Times New Roman" w:eastAsia="標楷體" w:hAnsi="Times New Roman" w:hint="eastAsia"/>
              </w:rPr>
              <w:t>MER</w:t>
            </w:r>
            <w:r>
              <w:rPr>
                <w:rFonts w:ascii="Times New Roman" w:eastAsia="標楷體" w:hAnsi="Times New Roman" w:hint="eastAsia"/>
              </w:rPr>
              <w:t>、</w:t>
            </w:r>
            <w:r>
              <w:rPr>
                <w:rFonts w:ascii="Times New Roman" w:eastAsia="標楷體" w:hAnsi="Times New Roman" w:hint="eastAsia"/>
              </w:rPr>
              <w:t>KIT</w:t>
            </w:r>
            <w:r>
              <w:rPr>
                <w:rFonts w:ascii="Times New Roman" w:eastAsia="標楷體" w:hAnsi="Times New Roman" w:hint="eastAsia"/>
              </w:rPr>
              <w:t>、</w:t>
            </w:r>
            <w:r>
              <w:rPr>
                <w:rFonts w:ascii="Times New Roman" w:eastAsia="標楷體" w:hAnsi="Times New Roman" w:hint="eastAsia"/>
              </w:rPr>
              <w:t>TPKB</w:t>
            </w:r>
            <w:r>
              <w:rPr>
                <w:rFonts w:ascii="Times New Roman" w:eastAsia="標楷體" w:hAnsi="Times New Roman" w:hint="eastAsia"/>
              </w:rPr>
              <w:t>、</w:t>
            </w:r>
            <w:r>
              <w:rPr>
                <w:rFonts w:ascii="Times New Roman" w:eastAsia="標楷體" w:hAnsi="Times New Roman" w:hint="eastAsia"/>
              </w:rPr>
              <w:t>FLT-3</w:t>
            </w:r>
            <w:r>
              <w:rPr>
                <w:rFonts w:ascii="Times New Roman" w:eastAsia="標楷體" w:hAnsi="Times New Roman" w:hint="eastAsia"/>
              </w:rPr>
              <w:t>及</w:t>
            </w:r>
            <w:r>
              <w:rPr>
                <w:rFonts w:ascii="Times New Roman" w:eastAsia="標楷體" w:hAnsi="Times New Roman" w:hint="eastAsia"/>
              </w:rPr>
              <w:t>TIE</w:t>
            </w:r>
            <w:r>
              <w:rPr>
                <w:rFonts w:ascii="Times New Roman" w:eastAsia="標楷體" w:hAnsi="Times New Roman"/>
              </w:rPr>
              <w:t>-2</w:t>
            </w:r>
            <w:r w:rsidR="0058462B">
              <w:rPr>
                <w:rFonts w:ascii="Times New Roman" w:eastAsia="標楷體" w:hAnsi="Times New Roman" w:hint="eastAsia"/>
              </w:rPr>
              <w:t>。這些酪胺酸激酶受體參與了維持正常細胞功能及細胞病變的過程，如腫瘤形成</w:t>
            </w:r>
            <w:r>
              <w:rPr>
                <w:rFonts w:ascii="Times New Roman" w:eastAsia="標楷體" w:hAnsi="Times New Roman" w:hint="eastAsia"/>
              </w:rPr>
              <w:t>、</w:t>
            </w:r>
            <w:r w:rsidR="0058462B">
              <w:rPr>
                <w:rFonts w:ascii="Times New Roman" w:eastAsia="標楷體" w:hAnsi="Times New Roman" w:hint="eastAsia"/>
              </w:rPr>
              <w:t>腫瘤細胞轉移</w:t>
            </w:r>
            <w:r>
              <w:rPr>
                <w:rFonts w:ascii="Times New Roman" w:eastAsia="標楷體" w:hAnsi="Times New Roman" w:hint="eastAsia"/>
              </w:rPr>
              <w:t>、</w:t>
            </w:r>
            <w:r w:rsidR="0058462B">
              <w:rPr>
                <w:rFonts w:ascii="Times New Roman" w:eastAsia="標楷體" w:hAnsi="Times New Roman" w:hint="eastAsia"/>
              </w:rPr>
              <w:t>腫瘤血管新生、抗藥性及腫瘤微環境的維持</w:t>
            </w:r>
            <w:r w:rsidR="00D221D6" w:rsidRPr="00D72185">
              <w:rPr>
                <w:rFonts w:ascii="Times New Roman" w:eastAsia="標楷體" w:hAnsi="Times New Roman"/>
              </w:rPr>
              <w:t>。</w:t>
            </w:r>
          </w:p>
        </w:tc>
      </w:tr>
      <w:tr w:rsidR="00D221D6" w:rsidRPr="00386048" w:rsidTr="0058462B">
        <w:tc>
          <w:tcPr>
            <w:tcW w:w="970" w:type="dxa"/>
            <w:tcBorders>
              <w:bottom w:val="single" w:sz="4" w:space="0" w:color="auto"/>
            </w:tcBorders>
            <w:vAlign w:val="center"/>
          </w:tcPr>
          <w:p w:rsidR="00D221D6" w:rsidRPr="00386048" w:rsidRDefault="00D221D6" w:rsidP="001A6264">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227C0F" w:rsidRDefault="00227C0F" w:rsidP="003555E5">
            <w:pPr>
              <w:pStyle w:val="a9"/>
              <w:widowControl/>
              <w:numPr>
                <w:ilvl w:val="0"/>
                <w:numId w:val="4"/>
              </w:numPr>
              <w:tabs>
                <w:tab w:val="left" w:pos="3255"/>
              </w:tabs>
              <w:ind w:leftChars="0"/>
              <w:rPr>
                <w:rFonts w:ascii="Times New Roman" w:eastAsia="標楷體" w:hAnsi="Times New Roman"/>
              </w:rPr>
            </w:pPr>
            <w:r>
              <w:rPr>
                <w:rFonts w:ascii="Times New Roman" w:eastAsia="標楷體" w:hAnsi="Times New Roman" w:hint="eastAsia"/>
              </w:rPr>
              <w:t>腎細胞癌</w:t>
            </w:r>
            <w:r w:rsidR="000A7AC6">
              <w:rPr>
                <w:rFonts w:ascii="Times New Roman" w:eastAsia="標楷體" w:hAnsi="Times New Roman" w:hint="eastAsia"/>
              </w:rPr>
              <w:t>：</w:t>
            </w:r>
          </w:p>
          <w:p w:rsidR="00D221D6" w:rsidRDefault="00227C0F" w:rsidP="003555E5">
            <w:pPr>
              <w:pStyle w:val="a9"/>
              <w:widowControl/>
              <w:numPr>
                <w:ilvl w:val="0"/>
                <w:numId w:val="7"/>
              </w:numPr>
              <w:tabs>
                <w:tab w:val="left" w:pos="3255"/>
              </w:tabs>
              <w:ind w:leftChars="0"/>
              <w:rPr>
                <w:rFonts w:ascii="Times New Roman" w:eastAsia="標楷體" w:hAnsi="Times New Roman"/>
              </w:rPr>
            </w:pPr>
            <w:r w:rsidRPr="00227C0F">
              <w:rPr>
                <w:rFonts w:ascii="Times New Roman" w:eastAsia="標楷體" w:hAnsi="Times New Roman"/>
              </w:rPr>
              <w:t>未曾接受過治療的中度</w:t>
            </w:r>
            <w:r w:rsidRPr="00227C0F">
              <w:rPr>
                <w:rFonts w:ascii="Times New Roman" w:eastAsia="標楷體" w:hAnsi="Times New Roman"/>
              </w:rPr>
              <w:t>/</w:t>
            </w:r>
            <w:r w:rsidRPr="00227C0F">
              <w:rPr>
                <w:rFonts w:ascii="Times New Roman" w:eastAsia="標楷體" w:hAnsi="Times New Roman"/>
              </w:rPr>
              <w:t>重度風險晚期腎細胞癌病人</w:t>
            </w:r>
          </w:p>
          <w:p w:rsidR="00227C0F" w:rsidRDefault="00227C0F" w:rsidP="003555E5">
            <w:pPr>
              <w:pStyle w:val="a9"/>
              <w:widowControl/>
              <w:numPr>
                <w:ilvl w:val="0"/>
                <w:numId w:val="7"/>
              </w:numPr>
              <w:tabs>
                <w:tab w:val="left" w:pos="3255"/>
              </w:tabs>
              <w:ind w:leftChars="0"/>
              <w:rPr>
                <w:rFonts w:ascii="Times New Roman" w:eastAsia="標楷體" w:hAnsi="Times New Roman"/>
              </w:rPr>
            </w:pPr>
            <w:r w:rsidRPr="00227C0F">
              <w:rPr>
                <w:rFonts w:ascii="Times New Roman" w:eastAsia="標楷體" w:hAnsi="Times New Roman"/>
              </w:rPr>
              <w:t>先前經抗血管新生療法</w:t>
            </w:r>
            <w:r w:rsidRPr="00227C0F">
              <w:rPr>
                <w:rFonts w:ascii="Times New Roman" w:eastAsia="標楷體" w:hAnsi="Times New Roman"/>
              </w:rPr>
              <w:t>(anti-angiogenic therapy)</w:t>
            </w:r>
            <w:r w:rsidRPr="00227C0F">
              <w:rPr>
                <w:rFonts w:ascii="Times New Roman" w:eastAsia="標楷體" w:hAnsi="Times New Roman"/>
              </w:rPr>
              <w:t>的晚期腎細胞癌病人。</w:t>
            </w:r>
          </w:p>
          <w:p w:rsidR="00227C0F" w:rsidRPr="008A3F92" w:rsidRDefault="000A7AC6" w:rsidP="003555E5">
            <w:pPr>
              <w:pStyle w:val="a9"/>
              <w:widowControl/>
              <w:numPr>
                <w:ilvl w:val="0"/>
                <w:numId w:val="4"/>
              </w:numPr>
              <w:tabs>
                <w:tab w:val="left" w:pos="3255"/>
              </w:tabs>
              <w:ind w:leftChars="0"/>
              <w:rPr>
                <w:rFonts w:ascii="Times New Roman" w:eastAsia="標楷體" w:hAnsi="Times New Roman"/>
              </w:rPr>
            </w:pPr>
            <w:r>
              <w:rPr>
                <w:rFonts w:ascii="Times New Roman" w:eastAsia="標楷體" w:hAnsi="Times New Roman" w:hint="eastAsia"/>
              </w:rPr>
              <w:t>肝細胞癌：</w:t>
            </w:r>
            <w:r w:rsidR="00227C0F">
              <w:rPr>
                <w:rFonts w:ascii="Times New Roman" w:eastAsia="標楷體" w:hAnsi="Times New Roman" w:hint="eastAsia"/>
              </w:rPr>
              <w:t>適用於</w:t>
            </w:r>
            <w:r w:rsidR="00227C0F" w:rsidRPr="00227C0F">
              <w:rPr>
                <w:rFonts w:ascii="Times New Roman" w:eastAsia="標楷體" w:hAnsi="Times New Roman"/>
              </w:rPr>
              <w:t>曾接受過</w:t>
            </w:r>
            <w:r w:rsidR="00227C0F">
              <w:rPr>
                <w:rFonts w:ascii="Times New Roman" w:eastAsia="標楷體" w:hAnsi="Times New Roman"/>
              </w:rPr>
              <w:t>sorafenib</w:t>
            </w:r>
            <w:r w:rsidR="00227C0F" w:rsidRPr="00227C0F">
              <w:rPr>
                <w:rFonts w:ascii="Times New Roman" w:eastAsia="標楷體" w:hAnsi="Times New Roman"/>
              </w:rPr>
              <w:t>治療之肝細胞癌病人。</w:t>
            </w:r>
          </w:p>
        </w:tc>
      </w:tr>
      <w:tr w:rsidR="00D85BCD" w:rsidRPr="0001660E" w:rsidTr="00E1272F">
        <w:tc>
          <w:tcPr>
            <w:tcW w:w="15452" w:type="dxa"/>
            <w:gridSpan w:val="2"/>
            <w:tcBorders>
              <w:left w:val="nil"/>
              <w:right w:val="nil"/>
            </w:tcBorders>
          </w:tcPr>
          <w:p w:rsidR="00D85BCD" w:rsidRPr="0001660E" w:rsidRDefault="00D85BCD"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Sorafenib</w:t>
            </w:r>
          </w:p>
        </w:tc>
      </w:tr>
      <w:tr w:rsidR="00D85BCD" w:rsidRPr="00386048" w:rsidTr="00E1272F">
        <w:tc>
          <w:tcPr>
            <w:tcW w:w="970" w:type="dxa"/>
            <w:vAlign w:val="center"/>
          </w:tcPr>
          <w:p w:rsidR="00D85BCD" w:rsidRPr="00386048" w:rsidRDefault="00D85BCD" w:rsidP="00D85BCD">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85BCD" w:rsidRPr="00386048" w:rsidRDefault="00D85BCD" w:rsidP="00D85BCD">
            <w:pPr>
              <w:widowControl/>
              <w:rPr>
                <w:rFonts w:ascii="Times New Roman" w:eastAsia="標楷體" w:hAnsi="Times New Roman"/>
              </w:rPr>
            </w:pPr>
            <w:r>
              <w:rPr>
                <w:rFonts w:ascii="Times New Roman" w:eastAsia="標楷體" w:hAnsi="Times New Roman" w:hint="eastAsia"/>
              </w:rPr>
              <w:t>Sorafenib</w:t>
            </w:r>
            <w:r>
              <w:rPr>
                <w:rFonts w:ascii="Times New Roman" w:eastAsia="標楷體" w:hAnsi="Times New Roman" w:hint="eastAsia"/>
              </w:rPr>
              <w:t>為一種</w:t>
            </w:r>
            <w:r w:rsidRPr="005022AB">
              <w:rPr>
                <w:rFonts w:ascii="Times New Roman" w:eastAsia="標楷體" w:hAnsi="Times New Roman"/>
              </w:rPr>
              <w:t>激酶抑制劑，</w:t>
            </w:r>
            <w:r>
              <w:rPr>
                <w:rFonts w:ascii="Times New Roman" w:eastAsia="標楷體" w:hAnsi="Times New Roman" w:hint="eastAsia"/>
              </w:rPr>
              <w:t>在體外試驗中可降低腫瘤細胞增生</w:t>
            </w:r>
            <w:r w:rsidRPr="00386048">
              <w:rPr>
                <w:rFonts w:ascii="Times New Roman" w:eastAsia="標楷體" w:hAnsi="Times New Roman"/>
              </w:rPr>
              <w:t>。</w:t>
            </w:r>
            <w:r>
              <w:rPr>
                <w:rFonts w:ascii="Times New Roman" w:eastAsia="標楷體" w:hAnsi="Times New Roman" w:hint="eastAsia"/>
              </w:rPr>
              <w:t>Sorafenib</w:t>
            </w:r>
            <w:r>
              <w:rPr>
                <w:rFonts w:ascii="Times New Roman" w:eastAsia="標楷體" w:hAnsi="Times New Roman" w:hint="eastAsia"/>
              </w:rPr>
              <w:t>被證實可抑制多種細胞內</w:t>
            </w:r>
            <w:r>
              <w:rPr>
                <w:rFonts w:ascii="Times New Roman" w:eastAsia="標楷體" w:hAnsi="Times New Roman" w:hint="eastAsia"/>
              </w:rPr>
              <w:t>(</w:t>
            </w:r>
            <w:r>
              <w:rPr>
                <w:rFonts w:ascii="Times New Roman" w:eastAsia="標楷體" w:hAnsi="Times New Roman"/>
              </w:rPr>
              <w:t>CRAF</w:t>
            </w:r>
            <w:r>
              <w:rPr>
                <w:rFonts w:ascii="Times New Roman" w:eastAsia="標楷體" w:hAnsi="Times New Roman" w:hint="eastAsia"/>
              </w:rPr>
              <w:t>、</w:t>
            </w:r>
            <w:r>
              <w:rPr>
                <w:rFonts w:ascii="Times New Roman" w:eastAsia="標楷體" w:hAnsi="Times New Roman" w:hint="eastAsia"/>
              </w:rPr>
              <w:t>BRAF</w:t>
            </w:r>
            <w:r>
              <w:rPr>
                <w:rFonts w:ascii="Times New Roman" w:eastAsia="標楷體" w:hAnsi="Times New Roman" w:hint="eastAsia"/>
              </w:rPr>
              <w:t>和突變型</w:t>
            </w:r>
            <w:r>
              <w:rPr>
                <w:rFonts w:ascii="Times New Roman" w:eastAsia="標楷體" w:hAnsi="Times New Roman" w:hint="eastAsia"/>
              </w:rPr>
              <w:t>BRAF)</w:t>
            </w:r>
            <w:r>
              <w:rPr>
                <w:rFonts w:ascii="Times New Roman" w:eastAsia="標楷體" w:hAnsi="Times New Roman" w:hint="eastAsia"/>
              </w:rPr>
              <w:t>及細胞表面</w:t>
            </w:r>
            <w:r w:rsidRPr="005022AB">
              <w:rPr>
                <w:rFonts w:ascii="Times New Roman" w:eastAsia="標楷體" w:hAnsi="Times New Roman"/>
              </w:rPr>
              <w:t>激酶</w:t>
            </w:r>
            <w:r>
              <w:rPr>
                <w:rFonts w:ascii="Times New Roman" w:eastAsia="標楷體" w:hAnsi="Times New Roman" w:hint="eastAsia"/>
              </w:rPr>
              <w:t>(KIT</w:t>
            </w:r>
            <w:r>
              <w:rPr>
                <w:rFonts w:ascii="Times New Roman" w:eastAsia="標楷體" w:hAnsi="Times New Roman" w:hint="eastAsia"/>
              </w:rPr>
              <w:t>、</w:t>
            </w:r>
            <w:r>
              <w:rPr>
                <w:rFonts w:ascii="Times New Roman" w:eastAsia="標楷體" w:hAnsi="Times New Roman" w:hint="eastAsia"/>
              </w:rPr>
              <w:t>FLT-3</w:t>
            </w:r>
            <w:r>
              <w:rPr>
                <w:rFonts w:ascii="Times New Roman" w:eastAsia="標楷體" w:hAnsi="Times New Roman" w:hint="eastAsia"/>
              </w:rPr>
              <w:t>、</w:t>
            </w:r>
            <w:r>
              <w:rPr>
                <w:rFonts w:ascii="Times New Roman" w:eastAsia="標楷體" w:hAnsi="Times New Roman" w:hint="eastAsia"/>
              </w:rPr>
              <w:t>RET</w:t>
            </w:r>
            <w:r>
              <w:rPr>
                <w:rFonts w:ascii="Times New Roman" w:eastAsia="標楷體" w:hAnsi="Times New Roman" w:hint="eastAsia"/>
              </w:rPr>
              <w:t>、</w:t>
            </w:r>
            <w:r>
              <w:rPr>
                <w:rFonts w:ascii="Times New Roman" w:eastAsia="標楷體" w:hAnsi="Times New Roman" w:hint="eastAsia"/>
              </w:rPr>
              <w:t>VEGFR-1</w:t>
            </w:r>
            <w:r>
              <w:rPr>
                <w:rFonts w:ascii="Times New Roman" w:eastAsia="標楷體" w:hAnsi="Times New Roman" w:hint="eastAsia"/>
              </w:rPr>
              <w:t>、</w:t>
            </w:r>
            <w:r>
              <w:rPr>
                <w:rFonts w:ascii="Times New Roman" w:eastAsia="標楷體" w:hAnsi="Times New Roman" w:hint="eastAsia"/>
              </w:rPr>
              <w:t>VEGFR-2</w:t>
            </w:r>
            <w:r>
              <w:rPr>
                <w:rFonts w:ascii="Times New Roman" w:eastAsia="標楷體" w:hAnsi="Times New Roman" w:hint="eastAsia"/>
              </w:rPr>
              <w:t>、</w:t>
            </w:r>
            <w:r>
              <w:rPr>
                <w:rFonts w:ascii="Times New Roman" w:eastAsia="標楷體" w:hAnsi="Times New Roman" w:hint="eastAsia"/>
              </w:rPr>
              <w:t>VEGFR-3</w:t>
            </w:r>
            <w:r>
              <w:rPr>
                <w:rFonts w:ascii="Times New Roman" w:eastAsia="標楷體" w:hAnsi="Times New Roman" w:hint="eastAsia"/>
              </w:rPr>
              <w:t>和</w:t>
            </w:r>
            <w:r>
              <w:rPr>
                <w:rFonts w:ascii="Times New Roman" w:eastAsia="標楷體" w:hAnsi="Times New Roman" w:hint="eastAsia"/>
              </w:rPr>
              <w:t>PDGFR-</w:t>
            </w:r>
            <w:r w:rsidRPr="00C03328">
              <w:rPr>
                <w:rFonts w:ascii="Times New Roman" w:eastAsia="標楷體" w:hAnsi="Times New Roman"/>
              </w:rPr>
              <w:t>β</w:t>
            </w:r>
            <w:r>
              <w:rPr>
                <w:rFonts w:ascii="Times New Roman" w:eastAsia="標楷體" w:hAnsi="Times New Roman" w:hint="eastAsia"/>
              </w:rPr>
              <w:t>)</w:t>
            </w:r>
            <w:r>
              <w:rPr>
                <w:rFonts w:ascii="Times New Roman" w:eastAsia="標楷體" w:hAnsi="Times New Roman" w:hint="eastAsia"/>
              </w:rPr>
              <w:t>反應。目前認為這些</w:t>
            </w:r>
            <w:r w:rsidRPr="005022AB">
              <w:rPr>
                <w:rFonts w:ascii="Times New Roman" w:eastAsia="標楷體" w:hAnsi="Times New Roman"/>
              </w:rPr>
              <w:t>激酶</w:t>
            </w:r>
            <w:r>
              <w:rPr>
                <w:rFonts w:ascii="Times New Roman" w:eastAsia="標楷體" w:hAnsi="Times New Roman" w:hint="eastAsia"/>
              </w:rPr>
              <w:t>中有數種與腫瘤細胞的訊息傳遞、血管增加和細胞凋亡有關。</w:t>
            </w:r>
            <w:r>
              <w:rPr>
                <w:rFonts w:ascii="Times New Roman" w:eastAsia="標楷體" w:hAnsi="Times New Roman" w:hint="eastAsia"/>
              </w:rPr>
              <w:t>Sorafenib</w:t>
            </w:r>
            <w:r>
              <w:rPr>
                <w:rFonts w:ascii="Times New Roman" w:eastAsia="標楷體" w:hAnsi="Times New Roman" w:hint="eastAsia"/>
              </w:rPr>
              <w:t>抑制人類肝細胞癌、腎細胞癌的腫瘤生長及血管增生，在免疫功能缺損小鼠中樹種人類腫瘤異體移植的模式上也觀察到相同效果。</w:t>
            </w:r>
            <w:r>
              <w:rPr>
                <w:rFonts w:ascii="Times New Roman" w:eastAsia="標楷體" w:hAnsi="Times New Roman" w:hint="eastAsia"/>
              </w:rPr>
              <w:t>Sorafenib</w:t>
            </w:r>
            <w:r>
              <w:rPr>
                <w:rFonts w:ascii="Times New Roman" w:eastAsia="標楷體" w:hAnsi="Times New Roman" w:hint="eastAsia"/>
              </w:rPr>
              <w:t>亦抑制分化型甲狀腺癌的腫瘤生長。</w:t>
            </w:r>
          </w:p>
        </w:tc>
      </w:tr>
      <w:tr w:rsidR="00D85BCD" w:rsidRPr="008A3F92" w:rsidTr="00E1272F">
        <w:tc>
          <w:tcPr>
            <w:tcW w:w="970" w:type="dxa"/>
            <w:tcBorders>
              <w:bottom w:val="single" w:sz="4" w:space="0" w:color="auto"/>
            </w:tcBorders>
            <w:vAlign w:val="center"/>
          </w:tcPr>
          <w:p w:rsidR="00D85BCD" w:rsidRPr="00386048" w:rsidRDefault="00D85BCD" w:rsidP="00D85BCD">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85BCD" w:rsidRPr="00AF5EF5" w:rsidRDefault="00D85BCD" w:rsidP="003555E5">
            <w:pPr>
              <w:pStyle w:val="a9"/>
              <w:widowControl/>
              <w:numPr>
                <w:ilvl w:val="0"/>
                <w:numId w:val="12"/>
              </w:numPr>
              <w:tabs>
                <w:tab w:val="left" w:pos="3255"/>
              </w:tabs>
              <w:ind w:leftChars="0"/>
              <w:rPr>
                <w:rFonts w:ascii="Times New Roman" w:eastAsia="標楷體" w:hAnsi="Times New Roman"/>
              </w:rPr>
            </w:pPr>
            <w:r w:rsidRPr="00C03328">
              <w:rPr>
                <w:rFonts w:ascii="Times New Roman" w:eastAsia="標楷體" w:hAnsi="Times New Roman"/>
              </w:rPr>
              <w:t>轉移性或無法手術切除且不適合局部治療或局部治療失敗之晚期肝細胞癌</w:t>
            </w:r>
            <w:r w:rsidRPr="00C03328">
              <w:rPr>
                <w:rFonts w:ascii="Times New Roman" w:eastAsia="標楷體" w:hAnsi="Times New Roman"/>
              </w:rPr>
              <w:t>(HCC)</w:t>
            </w:r>
            <w:r w:rsidRPr="005022AB">
              <w:rPr>
                <w:rFonts w:ascii="Times New Roman" w:eastAsia="標楷體" w:hAnsi="Times New Roman"/>
              </w:rPr>
              <w:t>。</w:t>
            </w:r>
          </w:p>
          <w:p w:rsidR="00D85BCD" w:rsidRPr="00AF5EF5" w:rsidRDefault="00D85BCD" w:rsidP="003555E5">
            <w:pPr>
              <w:pStyle w:val="a9"/>
              <w:widowControl/>
              <w:numPr>
                <w:ilvl w:val="0"/>
                <w:numId w:val="12"/>
              </w:numPr>
              <w:tabs>
                <w:tab w:val="left" w:pos="3255"/>
              </w:tabs>
              <w:ind w:leftChars="0"/>
              <w:rPr>
                <w:rFonts w:ascii="Times New Roman" w:eastAsia="標楷體" w:hAnsi="Times New Roman"/>
              </w:rPr>
            </w:pPr>
            <w:r w:rsidRPr="00C03328">
              <w:rPr>
                <w:rFonts w:ascii="Times New Roman" w:eastAsia="標楷體" w:hAnsi="Times New Roman"/>
              </w:rPr>
              <w:t>晚期腎細胞癌</w:t>
            </w:r>
            <w:r w:rsidRPr="00C03328">
              <w:rPr>
                <w:rFonts w:ascii="Times New Roman" w:eastAsia="標楷體" w:hAnsi="Times New Roman"/>
              </w:rPr>
              <w:t>(RCC)</w:t>
            </w:r>
            <w:r w:rsidRPr="00C03328">
              <w:rPr>
                <w:rFonts w:ascii="Times New Roman" w:eastAsia="標楷體" w:hAnsi="Times New Roman"/>
              </w:rPr>
              <w:t>且已接受</w:t>
            </w:r>
            <w:r w:rsidRPr="00C03328">
              <w:rPr>
                <w:rFonts w:ascii="Times New Roman" w:eastAsia="標楷體" w:hAnsi="Times New Roman"/>
              </w:rPr>
              <w:t>interferon-alpha</w:t>
            </w:r>
            <w:r w:rsidRPr="00C03328">
              <w:rPr>
                <w:rFonts w:ascii="Times New Roman" w:eastAsia="標楷體" w:hAnsi="Times New Roman"/>
              </w:rPr>
              <w:t>或</w:t>
            </w:r>
            <w:r w:rsidRPr="00C03328">
              <w:rPr>
                <w:rFonts w:ascii="Times New Roman" w:eastAsia="標楷體" w:hAnsi="Times New Roman"/>
              </w:rPr>
              <w:t>interleukin-2</w:t>
            </w:r>
            <w:r w:rsidRPr="00C03328">
              <w:rPr>
                <w:rFonts w:ascii="Times New Roman" w:eastAsia="標楷體" w:hAnsi="Times New Roman"/>
              </w:rPr>
              <w:t>治療失敗，或不適合以上兩種藥物治療之病患</w:t>
            </w:r>
            <w:r w:rsidRPr="005022AB">
              <w:rPr>
                <w:rFonts w:ascii="Times New Roman" w:eastAsia="標楷體" w:hAnsi="Times New Roman"/>
              </w:rPr>
              <w:t>。</w:t>
            </w:r>
          </w:p>
          <w:p w:rsidR="00D85BCD" w:rsidRPr="00C03328" w:rsidRDefault="00D85BCD" w:rsidP="003555E5">
            <w:pPr>
              <w:pStyle w:val="a9"/>
              <w:widowControl/>
              <w:numPr>
                <w:ilvl w:val="0"/>
                <w:numId w:val="12"/>
              </w:numPr>
              <w:tabs>
                <w:tab w:val="left" w:pos="3255"/>
              </w:tabs>
              <w:ind w:leftChars="0"/>
              <w:rPr>
                <w:rFonts w:ascii="Times New Roman" w:eastAsia="標楷體" w:hAnsi="Times New Roman"/>
              </w:rPr>
            </w:pPr>
            <w:r w:rsidRPr="00C03328">
              <w:rPr>
                <w:rFonts w:ascii="Times New Roman" w:eastAsia="標楷體" w:hAnsi="Times New Roman"/>
              </w:rPr>
              <w:lastRenderedPageBreak/>
              <w:t>放射性碘治療無效之局部晚期或轉移性的進行性</w:t>
            </w:r>
            <w:r w:rsidRPr="00C03328">
              <w:rPr>
                <w:rFonts w:ascii="Times New Roman" w:eastAsia="標楷體" w:hAnsi="Times New Roman"/>
              </w:rPr>
              <w:t>(progressive)</w:t>
            </w:r>
            <w:r w:rsidRPr="00C03328">
              <w:rPr>
                <w:rFonts w:ascii="Times New Roman" w:eastAsia="標楷體" w:hAnsi="Times New Roman"/>
              </w:rPr>
              <w:t>分化型甲狀腺癌</w:t>
            </w:r>
            <w:r w:rsidRPr="00C03328">
              <w:rPr>
                <w:rFonts w:ascii="Times New Roman" w:eastAsia="標楷體" w:hAnsi="Times New Roman"/>
              </w:rPr>
              <w:t>(DTC)</w:t>
            </w:r>
            <w:r w:rsidRPr="005022AB">
              <w:rPr>
                <w:rFonts w:ascii="Times New Roman" w:eastAsia="標楷體" w:hAnsi="Times New Roman"/>
              </w:rPr>
              <w:t>。</w:t>
            </w:r>
          </w:p>
        </w:tc>
      </w:tr>
      <w:tr w:rsidR="00D221D6" w:rsidRPr="00332900" w:rsidTr="002265C2">
        <w:tc>
          <w:tcPr>
            <w:tcW w:w="15452" w:type="dxa"/>
            <w:gridSpan w:val="2"/>
            <w:tcBorders>
              <w:top w:val="nil"/>
              <w:left w:val="nil"/>
              <w:right w:val="nil"/>
            </w:tcBorders>
          </w:tcPr>
          <w:p w:rsidR="00D221D6" w:rsidRPr="0001660E" w:rsidRDefault="0001660E"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lastRenderedPageBreak/>
              <w:t>Ramucirumab</w:t>
            </w:r>
          </w:p>
        </w:tc>
      </w:tr>
      <w:tr w:rsidR="00D221D6" w:rsidRPr="00386048" w:rsidTr="002265C2">
        <w:tc>
          <w:tcPr>
            <w:tcW w:w="970" w:type="dxa"/>
            <w:vAlign w:val="center"/>
          </w:tcPr>
          <w:p w:rsidR="00D221D6" w:rsidRPr="00386048" w:rsidRDefault="00D221D6" w:rsidP="001A6264">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221D6" w:rsidRPr="00023B86" w:rsidRDefault="0058462B" w:rsidP="001A6264">
            <w:pPr>
              <w:widowControl/>
              <w:rPr>
                <w:rFonts w:ascii="Times New Roman" w:eastAsia="標楷體" w:hAnsi="Times New Roman"/>
              </w:rPr>
            </w:pPr>
            <w:r w:rsidRPr="0058462B">
              <w:rPr>
                <w:rFonts w:ascii="Times New Roman" w:eastAsia="標楷體" w:hAnsi="Times New Roman"/>
              </w:rPr>
              <w:t>Ramucirumab</w:t>
            </w:r>
            <w:r>
              <w:rPr>
                <w:rFonts w:ascii="Times New Roman" w:eastAsia="標楷體" w:hAnsi="Times New Roman" w:hint="eastAsia"/>
              </w:rPr>
              <w:t>是血管內皮生長因子受體</w:t>
            </w:r>
            <w:r>
              <w:rPr>
                <w:rFonts w:ascii="Times New Roman" w:eastAsia="標楷體" w:hAnsi="Times New Roman" w:hint="eastAsia"/>
              </w:rPr>
              <w:t>2 (VEGFR 2)</w:t>
            </w:r>
            <w:r>
              <w:rPr>
                <w:rFonts w:ascii="Times New Roman" w:eastAsia="標楷體" w:hAnsi="Times New Roman" w:hint="eastAsia"/>
              </w:rPr>
              <w:t>拮抗劑，與</w:t>
            </w:r>
            <w:r>
              <w:rPr>
                <w:rFonts w:ascii="Times New Roman" w:eastAsia="標楷體" w:hAnsi="Times New Roman" w:hint="eastAsia"/>
              </w:rPr>
              <w:t>VEGFR-2</w:t>
            </w:r>
            <w:r>
              <w:rPr>
                <w:rFonts w:ascii="Times New Roman" w:eastAsia="標楷體" w:hAnsi="Times New Roman" w:hint="eastAsia"/>
              </w:rPr>
              <w:t>結合並阻斷其與</w:t>
            </w:r>
            <w:r>
              <w:rPr>
                <w:rFonts w:ascii="Times New Roman" w:eastAsia="標楷體" w:hAnsi="Times New Roman" w:hint="eastAsia"/>
              </w:rPr>
              <w:t>VEGFR</w:t>
            </w:r>
            <w:r>
              <w:rPr>
                <w:rFonts w:ascii="Times New Roman" w:eastAsia="標楷體" w:hAnsi="Times New Roman" w:hint="eastAsia"/>
              </w:rPr>
              <w:t>配體</w:t>
            </w:r>
            <w:r>
              <w:rPr>
                <w:rFonts w:ascii="Times New Roman" w:eastAsia="標楷體" w:hAnsi="Times New Roman" w:hint="eastAsia"/>
              </w:rPr>
              <w:t>(</w:t>
            </w:r>
            <w:r>
              <w:rPr>
                <w:rFonts w:ascii="Times New Roman" w:eastAsia="標楷體" w:hAnsi="Times New Roman"/>
              </w:rPr>
              <w:t>ligand</w:t>
            </w:r>
            <w:r>
              <w:rPr>
                <w:rFonts w:ascii="Times New Roman" w:eastAsia="標楷體" w:hAnsi="Times New Roman" w:hint="eastAsia"/>
              </w:rPr>
              <w:t>)</w:t>
            </w:r>
            <w:r>
              <w:rPr>
                <w:rFonts w:ascii="Times New Roman" w:eastAsia="標楷體" w:hAnsi="Times New Roman"/>
              </w:rPr>
              <w:t>-VEGF-A</w:t>
            </w:r>
            <w:r>
              <w:rPr>
                <w:rFonts w:ascii="Times New Roman" w:eastAsia="標楷體" w:hAnsi="Times New Roman" w:hint="eastAsia"/>
              </w:rPr>
              <w:t>、</w:t>
            </w:r>
            <w:r>
              <w:rPr>
                <w:rFonts w:ascii="Times New Roman" w:eastAsia="標楷體" w:hAnsi="Times New Roman"/>
              </w:rPr>
              <w:t>VEGF-</w:t>
            </w:r>
            <w:r>
              <w:rPr>
                <w:rFonts w:ascii="Times New Roman" w:eastAsia="標楷體" w:hAnsi="Times New Roman" w:hint="eastAsia"/>
              </w:rPr>
              <w:t>C</w:t>
            </w:r>
            <w:r>
              <w:rPr>
                <w:rFonts w:ascii="Times New Roman" w:eastAsia="標楷體" w:hAnsi="Times New Roman" w:hint="eastAsia"/>
              </w:rPr>
              <w:t>及</w:t>
            </w:r>
            <w:r>
              <w:rPr>
                <w:rFonts w:ascii="Times New Roman" w:eastAsia="標楷體" w:hAnsi="Times New Roman"/>
              </w:rPr>
              <w:t>VEGF-</w:t>
            </w:r>
            <w:r>
              <w:rPr>
                <w:rFonts w:ascii="Times New Roman" w:eastAsia="標楷體" w:hAnsi="Times New Roman" w:hint="eastAsia"/>
              </w:rPr>
              <w:t>D</w:t>
            </w:r>
            <w:r>
              <w:rPr>
                <w:rFonts w:ascii="Times New Roman" w:eastAsia="標楷體" w:hAnsi="Times New Roman" w:hint="eastAsia"/>
              </w:rPr>
              <w:t>的結合。因此，</w:t>
            </w:r>
            <w:r>
              <w:rPr>
                <w:rFonts w:ascii="Times New Roman" w:eastAsia="標楷體" w:hAnsi="Times New Roman"/>
              </w:rPr>
              <w:t>r</w:t>
            </w:r>
            <w:r w:rsidRPr="0058462B">
              <w:rPr>
                <w:rFonts w:ascii="Times New Roman" w:eastAsia="標楷體" w:hAnsi="Times New Roman"/>
              </w:rPr>
              <w:t>amucirumab</w:t>
            </w:r>
            <w:r>
              <w:rPr>
                <w:rFonts w:ascii="Times New Roman" w:eastAsia="標楷體" w:hAnsi="Times New Roman" w:hint="eastAsia"/>
              </w:rPr>
              <w:t>能抑制配體刺激</w:t>
            </w:r>
            <w:r>
              <w:rPr>
                <w:rFonts w:ascii="Times New Roman" w:eastAsia="標楷體" w:hAnsi="Times New Roman" w:hint="eastAsia"/>
              </w:rPr>
              <w:t>VEGFR 2</w:t>
            </w:r>
            <w:r>
              <w:rPr>
                <w:rFonts w:ascii="Times New Roman" w:eastAsia="標楷體" w:hAnsi="Times New Roman" w:hint="eastAsia"/>
              </w:rPr>
              <w:t>活化，進而抑制配體誘發的增生活動及人類內皮細胞的移動</w:t>
            </w:r>
            <w:r w:rsidR="00D221D6" w:rsidRPr="00D72185">
              <w:rPr>
                <w:rFonts w:ascii="Times New Roman" w:eastAsia="標楷體" w:hAnsi="Times New Roman"/>
              </w:rPr>
              <w:t>。</w:t>
            </w:r>
            <w:r w:rsidRPr="0058462B">
              <w:rPr>
                <w:rFonts w:ascii="Times New Roman" w:eastAsia="標楷體" w:hAnsi="Times New Roman"/>
              </w:rPr>
              <w:t>Ramucirumab</w:t>
            </w:r>
            <w:r>
              <w:rPr>
                <w:rFonts w:ascii="Times New Roman" w:eastAsia="標楷體" w:hAnsi="Times New Roman" w:hint="eastAsia"/>
              </w:rPr>
              <w:t>在體內動物試驗中顯現抑制血管新生作用</w:t>
            </w:r>
            <w:r w:rsidRPr="00D72185">
              <w:rPr>
                <w:rFonts w:ascii="Times New Roman" w:eastAsia="標楷體" w:hAnsi="Times New Roman"/>
              </w:rPr>
              <w:t>。</w:t>
            </w:r>
          </w:p>
        </w:tc>
      </w:tr>
      <w:tr w:rsidR="00D221D6" w:rsidRPr="00386048" w:rsidTr="002265C2">
        <w:tc>
          <w:tcPr>
            <w:tcW w:w="970" w:type="dxa"/>
            <w:vAlign w:val="center"/>
          </w:tcPr>
          <w:p w:rsidR="00D221D6" w:rsidRPr="00386048" w:rsidRDefault="00D221D6" w:rsidP="001A6264">
            <w:pPr>
              <w:widowControl/>
              <w:jc w:val="both"/>
              <w:rPr>
                <w:rFonts w:ascii="Times New Roman" w:eastAsia="標楷體" w:hAnsi="Times New Roman"/>
              </w:rPr>
            </w:pPr>
            <w:r w:rsidRPr="00386048">
              <w:rPr>
                <w:rFonts w:ascii="Times New Roman" w:eastAsia="標楷體" w:hAnsi="Times New Roman"/>
              </w:rPr>
              <w:t>適應症</w:t>
            </w:r>
          </w:p>
        </w:tc>
        <w:tc>
          <w:tcPr>
            <w:tcW w:w="14482" w:type="dxa"/>
          </w:tcPr>
          <w:p w:rsidR="0058462B" w:rsidRDefault="0058462B" w:rsidP="003555E5">
            <w:pPr>
              <w:pStyle w:val="a9"/>
              <w:widowControl/>
              <w:numPr>
                <w:ilvl w:val="0"/>
                <w:numId w:val="5"/>
              </w:numPr>
              <w:ind w:leftChars="0"/>
              <w:rPr>
                <w:rFonts w:ascii="Times New Roman" w:eastAsia="標楷體" w:hAnsi="Times New Roman"/>
              </w:rPr>
            </w:pPr>
            <w:r>
              <w:rPr>
                <w:rFonts w:ascii="Times New Roman" w:eastAsia="標楷體" w:hAnsi="Times New Roman" w:hint="eastAsia"/>
              </w:rPr>
              <w:t>胃癌</w:t>
            </w:r>
            <w:r w:rsidR="000A7AC6">
              <w:rPr>
                <w:rFonts w:ascii="Times New Roman" w:eastAsia="標楷體" w:hAnsi="Times New Roman" w:hint="eastAsia"/>
              </w:rPr>
              <w:t>：</w:t>
            </w:r>
          </w:p>
          <w:p w:rsidR="00D221D6" w:rsidRPr="0058462B" w:rsidRDefault="0058462B" w:rsidP="003555E5">
            <w:pPr>
              <w:pStyle w:val="a9"/>
              <w:widowControl/>
              <w:numPr>
                <w:ilvl w:val="0"/>
                <w:numId w:val="8"/>
              </w:numPr>
              <w:ind w:leftChars="0"/>
              <w:rPr>
                <w:rFonts w:ascii="Times New Roman" w:eastAsia="標楷體" w:hAnsi="Times New Roman"/>
              </w:rPr>
            </w:pPr>
            <w:r w:rsidRPr="0058462B">
              <w:rPr>
                <w:rFonts w:ascii="Times New Roman" w:eastAsia="標楷體" w:hAnsi="Times New Roman"/>
              </w:rPr>
              <w:t>Ramucirumab</w:t>
            </w:r>
            <w:r w:rsidRPr="0058462B">
              <w:rPr>
                <w:rFonts w:ascii="Times New Roman" w:eastAsia="標楷體" w:hAnsi="Times New Roman"/>
              </w:rPr>
              <w:t>併用</w:t>
            </w:r>
            <w:r w:rsidRPr="0058462B">
              <w:rPr>
                <w:rFonts w:ascii="Times New Roman" w:eastAsia="標楷體" w:hAnsi="Times New Roman"/>
              </w:rPr>
              <w:t>paclitaxel</w:t>
            </w:r>
            <w:r w:rsidRPr="0058462B">
              <w:rPr>
                <w:rFonts w:ascii="Times New Roman" w:eastAsia="標楷體" w:hAnsi="Times New Roman"/>
              </w:rPr>
              <w:t>適用於治療正接受或接受過</w:t>
            </w:r>
            <w:r w:rsidRPr="0058462B">
              <w:rPr>
                <w:rFonts w:ascii="Times New Roman" w:eastAsia="標楷體" w:hAnsi="Times New Roman"/>
              </w:rPr>
              <w:t>fluoropyrimidine</w:t>
            </w:r>
            <w:r w:rsidRPr="0058462B">
              <w:rPr>
                <w:rFonts w:ascii="Times New Roman" w:eastAsia="標楷體" w:hAnsi="Times New Roman"/>
              </w:rPr>
              <w:t>和</w:t>
            </w:r>
            <w:r w:rsidRPr="0058462B">
              <w:rPr>
                <w:rFonts w:ascii="Times New Roman" w:eastAsia="標楷體" w:hAnsi="Times New Roman"/>
              </w:rPr>
              <w:t>platinum</w:t>
            </w:r>
            <w:r w:rsidRPr="0058462B">
              <w:rPr>
                <w:rFonts w:ascii="Times New Roman" w:eastAsia="標楷體" w:hAnsi="Times New Roman"/>
              </w:rPr>
              <w:t>化學治療仍疾病惡化之晚期或轉移性胃腺癌</w:t>
            </w:r>
            <w:r w:rsidRPr="0058462B">
              <w:rPr>
                <w:rFonts w:ascii="Times New Roman" w:eastAsia="標楷體" w:hAnsi="Times New Roman"/>
              </w:rPr>
              <w:t>(</w:t>
            </w:r>
            <w:r w:rsidRPr="0058462B">
              <w:rPr>
                <w:rFonts w:ascii="Times New Roman" w:eastAsia="標楷體" w:hAnsi="Times New Roman"/>
              </w:rPr>
              <w:t>或胃食道接合處腺癌</w:t>
            </w:r>
            <w:r w:rsidRPr="0058462B">
              <w:rPr>
                <w:rFonts w:ascii="Times New Roman" w:eastAsia="標楷體" w:hAnsi="Times New Roman"/>
              </w:rPr>
              <w:t>)</w:t>
            </w:r>
            <w:r w:rsidRPr="0058462B">
              <w:rPr>
                <w:rFonts w:ascii="Times New Roman" w:eastAsia="標楷體" w:hAnsi="Times New Roman"/>
              </w:rPr>
              <w:t>。</w:t>
            </w:r>
          </w:p>
          <w:p w:rsidR="0058462B" w:rsidRDefault="0058462B" w:rsidP="003555E5">
            <w:pPr>
              <w:pStyle w:val="a9"/>
              <w:widowControl/>
              <w:numPr>
                <w:ilvl w:val="0"/>
                <w:numId w:val="8"/>
              </w:numPr>
              <w:ind w:leftChars="0"/>
              <w:rPr>
                <w:rFonts w:ascii="Times New Roman" w:eastAsia="標楷體" w:hAnsi="Times New Roman"/>
              </w:rPr>
            </w:pPr>
            <w:r w:rsidRPr="0058462B">
              <w:rPr>
                <w:rFonts w:ascii="Times New Roman" w:eastAsia="標楷體" w:hAnsi="Times New Roman"/>
              </w:rPr>
              <w:t>Ramucirumab</w:t>
            </w:r>
            <w:r w:rsidRPr="0058462B">
              <w:rPr>
                <w:rFonts w:ascii="Times New Roman" w:eastAsia="標楷體" w:hAnsi="Times New Roman"/>
              </w:rPr>
              <w:t>單一藥物適用於治療正接受或接受過</w:t>
            </w:r>
            <w:r w:rsidRPr="0058462B">
              <w:rPr>
                <w:rFonts w:ascii="Times New Roman" w:eastAsia="標楷體" w:hAnsi="Times New Roman"/>
              </w:rPr>
              <w:t>fluoropyrimidine</w:t>
            </w:r>
            <w:r w:rsidRPr="0058462B">
              <w:rPr>
                <w:rFonts w:ascii="Times New Roman" w:eastAsia="標楷體" w:hAnsi="Times New Roman"/>
              </w:rPr>
              <w:t>或</w:t>
            </w:r>
            <w:r w:rsidRPr="0058462B">
              <w:rPr>
                <w:rFonts w:ascii="Times New Roman" w:eastAsia="標楷體" w:hAnsi="Times New Roman"/>
              </w:rPr>
              <w:t>platinum</w:t>
            </w:r>
            <w:r w:rsidRPr="0058462B">
              <w:rPr>
                <w:rFonts w:ascii="Times New Roman" w:eastAsia="標楷體" w:hAnsi="Times New Roman"/>
              </w:rPr>
              <w:t>化學治療仍疾病惡化，且不適合接受含</w:t>
            </w:r>
            <w:r w:rsidRPr="0058462B">
              <w:rPr>
                <w:rFonts w:ascii="Times New Roman" w:eastAsia="標楷體" w:hAnsi="Times New Roman"/>
              </w:rPr>
              <w:t>paclitaxel</w:t>
            </w:r>
            <w:r w:rsidRPr="0058462B">
              <w:rPr>
                <w:rFonts w:ascii="Times New Roman" w:eastAsia="標楷體" w:hAnsi="Times New Roman"/>
              </w:rPr>
              <w:t>藥物治療之晚期或轉移性胃腺癌</w:t>
            </w:r>
            <w:r w:rsidRPr="0058462B">
              <w:rPr>
                <w:rFonts w:ascii="Times New Roman" w:eastAsia="標楷體" w:hAnsi="Times New Roman"/>
              </w:rPr>
              <w:t>(</w:t>
            </w:r>
            <w:r w:rsidRPr="0058462B">
              <w:rPr>
                <w:rFonts w:ascii="Times New Roman" w:eastAsia="標楷體" w:hAnsi="Times New Roman"/>
              </w:rPr>
              <w:t>或胃食道接合處腺癌</w:t>
            </w:r>
            <w:r w:rsidRPr="0058462B">
              <w:rPr>
                <w:rFonts w:ascii="Times New Roman" w:eastAsia="標楷體" w:hAnsi="Times New Roman"/>
              </w:rPr>
              <w:t>)</w:t>
            </w:r>
            <w:r w:rsidRPr="0058462B">
              <w:rPr>
                <w:rFonts w:ascii="Times New Roman" w:eastAsia="標楷體" w:hAnsi="Times New Roman"/>
              </w:rPr>
              <w:t>。</w:t>
            </w:r>
          </w:p>
          <w:p w:rsidR="0058462B" w:rsidRDefault="0058462B" w:rsidP="003555E5">
            <w:pPr>
              <w:pStyle w:val="a9"/>
              <w:widowControl/>
              <w:numPr>
                <w:ilvl w:val="0"/>
                <w:numId w:val="5"/>
              </w:numPr>
              <w:ind w:leftChars="0"/>
              <w:rPr>
                <w:rFonts w:ascii="Times New Roman" w:eastAsia="標楷體" w:hAnsi="Times New Roman"/>
              </w:rPr>
            </w:pPr>
            <w:r w:rsidRPr="0058462B">
              <w:rPr>
                <w:rFonts w:ascii="Times New Roman" w:eastAsia="標楷體" w:hAnsi="Times New Roman"/>
              </w:rPr>
              <w:t>非小細胞肺癌</w:t>
            </w:r>
            <w:r w:rsidRPr="0058462B">
              <w:rPr>
                <w:rFonts w:ascii="Times New Roman" w:eastAsia="標楷體" w:hAnsi="Times New Roman"/>
              </w:rPr>
              <w:t xml:space="preserve"> (NSCLC)</w:t>
            </w:r>
            <w:r w:rsidR="000A7AC6">
              <w:rPr>
                <w:rFonts w:ascii="Times New Roman" w:eastAsia="標楷體" w:hAnsi="Times New Roman" w:hint="eastAsia"/>
              </w:rPr>
              <w:t>：</w:t>
            </w:r>
          </w:p>
          <w:p w:rsidR="0058462B" w:rsidRPr="0058462B" w:rsidRDefault="0058462B" w:rsidP="003555E5">
            <w:pPr>
              <w:pStyle w:val="a9"/>
              <w:widowControl/>
              <w:numPr>
                <w:ilvl w:val="1"/>
                <w:numId w:val="5"/>
              </w:numPr>
              <w:ind w:leftChars="0"/>
              <w:rPr>
                <w:rFonts w:ascii="Times New Roman" w:eastAsia="標楷體" w:hAnsi="Times New Roman"/>
              </w:rPr>
            </w:pPr>
            <w:r w:rsidRPr="0058462B">
              <w:rPr>
                <w:rFonts w:ascii="Times New Roman" w:eastAsia="標楷體" w:hAnsi="Times New Roman"/>
              </w:rPr>
              <w:t>Ramucirumab</w:t>
            </w:r>
            <w:r w:rsidRPr="0058462B">
              <w:rPr>
                <w:rFonts w:ascii="Times New Roman" w:eastAsia="標楷體" w:hAnsi="Times New Roman"/>
              </w:rPr>
              <w:t>併用</w:t>
            </w:r>
            <w:r w:rsidRPr="0058462B">
              <w:rPr>
                <w:rFonts w:ascii="Times New Roman" w:eastAsia="標楷體" w:hAnsi="Times New Roman"/>
              </w:rPr>
              <w:t>erlotinib</w:t>
            </w:r>
            <w:r w:rsidRPr="0058462B">
              <w:rPr>
                <w:rFonts w:ascii="Times New Roman" w:eastAsia="標楷體" w:hAnsi="Times New Roman"/>
              </w:rPr>
              <w:t>適用於第一線治療具有表皮生長因子受體</w:t>
            </w:r>
            <w:r w:rsidR="00222CD7">
              <w:rPr>
                <w:rFonts w:ascii="Times New Roman" w:eastAsia="標楷體" w:hAnsi="Times New Roman"/>
              </w:rPr>
              <w:t>(EGFR)</w:t>
            </w:r>
            <w:r w:rsidRPr="0058462B">
              <w:rPr>
                <w:rFonts w:ascii="Times New Roman" w:eastAsia="標楷體" w:hAnsi="Times New Roman"/>
              </w:rPr>
              <w:t>突變之轉移性非小細胞肺癌。</w:t>
            </w:r>
          </w:p>
          <w:p w:rsidR="0058462B" w:rsidRDefault="0058462B" w:rsidP="003555E5">
            <w:pPr>
              <w:pStyle w:val="a9"/>
              <w:widowControl/>
              <w:numPr>
                <w:ilvl w:val="1"/>
                <w:numId w:val="5"/>
              </w:numPr>
              <w:ind w:leftChars="0"/>
              <w:rPr>
                <w:rFonts w:ascii="Times New Roman" w:eastAsia="標楷體" w:hAnsi="Times New Roman"/>
              </w:rPr>
            </w:pPr>
            <w:r w:rsidRPr="0058462B">
              <w:rPr>
                <w:rFonts w:ascii="Times New Roman" w:eastAsia="標楷體" w:hAnsi="Times New Roman"/>
              </w:rPr>
              <w:t>Ramucirumab</w:t>
            </w:r>
            <w:r w:rsidRPr="0058462B">
              <w:rPr>
                <w:rFonts w:ascii="Times New Roman" w:eastAsia="標楷體" w:hAnsi="Times New Roman"/>
              </w:rPr>
              <w:t>併用</w:t>
            </w:r>
            <w:r w:rsidRPr="0058462B">
              <w:rPr>
                <w:rFonts w:ascii="Times New Roman" w:eastAsia="標楷體" w:hAnsi="Times New Roman"/>
              </w:rPr>
              <w:t>docetaxel</w:t>
            </w:r>
            <w:r w:rsidRPr="0058462B">
              <w:rPr>
                <w:rFonts w:ascii="Times New Roman" w:eastAsia="標楷體" w:hAnsi="Times New Roman"/>
              </w:rPr>
              <w:t>適用於治療正接受或接受過含</w:t>
            </w:r>
            <w:r w:rsidRPr="0058462B">
              <w:rPr>
                <w:rFonts w:ascii="Times New Roman" w:eastAsia="標楷體" w:hAnsi="Times New Roman"/>
              </w:rPr>
              <w:t>platinum</w:t>
            </w:r>
            <w:r w:rsidRPr="0058462B">
              <w:rPr>
                <w:rFonts w:ascii="Times New Roman" w:eastAsia="標楷體" w:hAnsi="Times New Roman"/>
              </w:rPr>
              <w:t>化學治療仍疾病惡化之局部晚期或轉移性非小細胞肺癌。</w:t>
            </w:r>
          </w:p>
          <w:p w:rsidR="00D221D6" w:rsidRDefault="0058462B" w:rsidP="003555E5">
            <w:pPr>
              <w:pStyle w:val="a9"/>
              <w:widowControl/>
              <w:numPr>
                <w:ilvl w:val="0"/>
                <w:numId w:val="5"/>
              </w:numPr>
              <w:ind w:leftChars="0"/>
              <w:rPr>
                <w:rFonts w:ascii="Times New Roman" w:eastAsia="標楷體" w:hAnsi="Times New Roman"/>
              </w:rPr>
            </w:pPr>
            <w:r w:rsidRPr="0058462B">
              <w:rPr>
                <w:rFonts w:ascii="Times New Roman" w:eastAsia="標楷體" w:hAnsi="Times New Roman"/>
              </w:rPr>
              <w:t>大腸直腸癌</w:t>
            </w:r>
            <w:r w:rsidR="000A7AC6">
              <w:rPr>
                <w:rFonts w:ascii="Times New Roman" w:eastAsia="標楷體" w:hAnsi="Times New Roman" w:hint="eastAsia"/>
              </w:rPr>
              <w:t>：</w:t>
            </w:r>
            <w:r w:rsidRPr="0058462B">
              <w:rPr>
                <w:rFonts w:ascii="Times New Roman" w:eastAsia="標楷體" w:hAnsi="Times New Roman"/>
              </w:rPr>
              <w:t>Ramucirumab</w:t>
            </w:r>
            <w:r w:rsidRPr="0058462B">
              <w:rPr>
                <w:rFonts w:ascii="Times New Roman" w:eastAsia="標楷體" w:hAnsi="Times New Roman"/>
              </w:rPr>
              <w:t>併用</w:t>
            </w:r>
            <w:r w:rsidRPr="0058462B">
              <w:rPr>
                <w:rFonts w:ascii="Times New Roman" w:eastAsia="標楷體" w:hAnsi="Times New Roman"/>
              </w:rPr>
              <w:t>FOLFIRI (irinotecan</w:t>
            </w:r>
            <w:r w:rsidRPr="0058462B">
              <w:rPr>
                <w:rFonts w:ascii="Times New Roman" w:eastAsia="標楷體" w:hAnsi="Times New Roman"/>
              </w:rPr>
              <w:t>、葉酸及</w:t>
            </w:r>
            <w:r w:rsidRPr="0058462B">
              <w:rPr>
                <w:rFonts w:ascii="Times New Roman" w:eastAsia="標楷體" w:hAnsi="Times New Roman"/>
              </w:rPr>
              <w:t>5-fluorouracil)</w:t>
            </w:r>
            <w:r w:rsidRPr="0058462B">
              <w:rPr>
                <w:rFonts w:ascii="Times New Roman" w:eastAsia="標楷體" w:hAnsi="Times New Roman"/>
              </w:rPr>
              <w:t>適用於治療正接受或接受過</w:t>
            </w:r>
            <w:r w:rsidRPr="0058462B">
              <w:rPr>
                <w:rFonts w:ascii="Times New Roman" w:eastAsia="標楷體" w:hAnsi="Times New Roman"/>
              </w:rPr>
              <w:t>bevacizumab</w:t>
            </w:r>
            <w:r w:rsidRPr="0058462B">
              <w:rPr>
                <w:rFonts w:ascii="Times New Roman" w:eastAsia="標楷體" w:hAnsi="Times New Roman"/>
              </w:rPr>
              <w:t>、</w:t>
            </w:r>
            <w:r w:rsidRPr="0058462B">
              <w:rPr>
                <w:rFonts w:ascii="Times New Roman" w:eastAsia="標楷體" w:hAnsi="Times New Roman"/>
              </w:rPr>
              <w:t>oxaliplatin</w:t>
            </w:r>
            <w:r w:rsidRPr="0058462B">
              <w:rPr>
                <w:rFonts w:ascii="Times New Roman" w:eastAsia="標楷體" w:hAnsi="Times New Roman"/>
              </w:rPr>
              <w:t>及</w:t>
            </w:r>
            <w:r w:rsidRPr="0058462B">
              <w:rPr>
                <w:rFonts w:ascii="Times New Roman" w:eastAsia="標楷體" w:hAnsi="Times New Roman"/>
              </w:rPr>
              <w:t>fluoropyrimidine</w:t>
            </w:r>
            <w:r w:rsidRPr="0058462B">
              <w:rPr>
                <w:rFonts w:ascii="Times New Roman" w:eastAsia="標楷體" w:hAnsi="Times New Roman"/>
              </w:rPr>
              <w:t>治療仍疾病惡化之轉移性大腸直腸癌</w:t>
            </w:r>
            <w:r w:rsidRPr="0058462B">
              <w:rPr>
                <w:rFonts w:ascii="Times New Roman" w:eastAsia="標楷體" w:hAnsi="Times New Roman"/>
              </w:rPr>
              <w:t>(mCRC)</w:t>
            </w:r>
            <w:r w:rsidR="00D221D6" w:rsidRPr="003E78BC">
              <w:rPr>
                <w:rFonts w:ascii="Times New Roman" w:eastAsia="標楷體" w:hAnsi="Times New Roman" w:hint="eastAsia"/>
              </w:rPr>
              <w:t>。</w:t>
            </w:r>
          </w:p>
          <w:p w:rsidR="00D221D6" w:rsidRPr="0058462B" w:rsidRDefault="0058462B" w:rsidP="003555E5">
            <w:pPr>
              <w:pStyle w:val="a9"/>
              <w:widowControl/>
              <w:numPr>
                <w:ilvl w:val="0"/>
                <w:numId w:val="5"/>
              </w:numPr>
              <w:ind w:leftChars="0"/>
              <w:rPr>
                <w:rFonts w:ascii="Times New Roman" w:eastAsia="標楷體" w:hAnsi="Times New Roman"/>
              </w:rPr>
            </w:pPr>
            <w:r w:rsidRPr="0058462B">
              <w:rPr>
                <w:rFonts w:ascii="Times New Roman" w:eastAsia="標楷體" w:hAnsi="Times New Roman"/>
              </w:rPr>
              <w:t>肝細胞癌</w:t>
            </w:r>
            <w:r w:rsidRPr="0058462B">
              <w:rPr>
                <w:rFonts w:ascii="Times New Roman" w:eastAsia="標楷體" w:hAnsi="Times New Roman"/>
              </w:rPr>
              <w:t>(HCC)</w:t>
            </w:r>
            <w:r w:rsidR="000A7AC6">
              <w:rPr>
                <w:rFonts w:ascii="Times New Roman" w:eastAsia="標楷體" w:hAnsi="Times New Roman" w:hint="eastAsia"/>
              </w:rPr>
              <w:t>：</w:t>
            </w:r>
            <w:r w:rsidRPr="0058462B">
              <w:rPr>
                <w:rFonts w:ascii="Times New Roman" w:eastAsia="標楷體" w:hAnsi="Times New Roman"/>
              </w:rPr>
              <w:t>Ramucirumab</w:t>
            </w:r>
            <w:r w:rsidRPr="0058462B">
              <w:rPr>
                <w:rFonts w:ascii="Times New Roman" w:eastAsia="標楷體" w:hAnsi="Times New Roman"/>
              </w:rPr>
              <w:t>單一療法適用於接受過</w:t>
            </w:r>
            <w:r w:rsidRPr="0058462B">
              <w:rPr>
                <w:rFonts w:ascii="Times New Roman" w:eastAsia="標楷體" w:hAnsi="Times New Roman"/>
              </w:rPr>
              <w:t>sorafenib</w:t>
            </w:r>
            <w:r w:rsidRPr="0058462B">
              <w:rPr>
                <w:rFonts w:ascii="Times New Roman" w:eastAsia="標楷體" w:hAnsi="Times New Roman"/>
              </w:rPr>
              <w:t>治療且</w:t>
            </w:r>
            <w:r w:rsidRPr="0058462B">
              <w:rPr>
                <w:rFonts w:ascii="Times New Roman" w:eastAsia="標楷體" w:hAnsi="Times New Roman"/>
              </w:rPr>
              <w:t>alpha-fetoprotein(AFP) ≥400 ng/mL</w:t>
            </w:r>
            <w:r w:rsidRPr="0058462B">
              <w:rPr>
                <w:rFonts w:ascii="Times New Roman" w:eastAsia="標楷體" w:hAnsi="Times New Roman"/>
              </w:rPr>
              <w:t>之肝細胞癌病人。</w:t>
            </w:r>
          </w:p>
        </w:tc>
      </w:tr>
      <w:tr w:rsidR="00DF2AEC" w:rsidRPr="0001660E" w:rsidTr="00E1272F">
        <w:tc>
          <w:tcPr>
            <w:tcW w:w="15452" w:type="dxa"/>
            <w:gridSpan w:val="2"/>
            <w:tcBorders>
              <w:left w:val="nil"/>
              <w:right w:val="nil"/>
            </w:tcBorders>
          </w:tcPr>
          <w:p w:rsidR="00DF2AEC" w:rsidRPr="0001660E" w:rsidRDefault="00DF2AEC"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Regorafenib</w:t>
            </w:r>
          </w:p>
        </w:tc>
      </w:tr>
      <w:tr w:rsidR="00DF2AEC" w:rsidRPr="00386048" w:rsidTr="00E1272F">
        <w:tc>
          <w:tcPr>
            <w:tcW w:w="970" w:type="dxa"/>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F2AEC" w:rsidRPr="00386048" w:rsidRDefault="00DF2AEC" w:rsidP="00E1272F">
            <w:pPr>
              <w:widowControl/>
              <w:rPr>
                <w:rFonts w:ascii="Times New Roman" w:eastAsia="標楷體" w:hAnsi="Times New Roman"/>
              </w:rPr>
            </w:pPr>
            <w:r>
              <w:rPr>
                <w:rFonts w:ascii="Times New Roman" w:eastAsia="標楷體" w:hAnsi="Times New Roman"/>
              </w:rPr>
              <w:t>Re</w:t>
            </w:r>
            <w:r w:rsidRPr="001A6264">
              <w:rPr>
                <w:rFonts w:ascii="Times New Roman" w:eastAsia="標楷體" w:hAnsi="Times New Roman"/>
              </w:rPr>
              <w:t>gorafenib</w:t>
            </w:r>
            <w:r w:rsidRPr="001A6264">
              <w:rPr>
                <w:rFonts w:ascii="Times New Roman" w:eastAsia="標楷體" w:hAnsi="Times New Roman"/>
              </w:rPr>
              <w:t>是多種膜上激酶及細胞內激酶的小分子抑制劑，這些激酶參與了正常的細胞功能，也涉及許多病理進程，包括腫瘤發生、腫瘤血管新生、轉移以及腫瘤免疫。在生化或細胞的活體外分析中，當</w:t>
            </w:r>
            <w:r>
              <w:rPr>
                <w:rFonts w:ascii="Times New Roman" w:eastAsia="標楷體" w:hAnsi="Times New Roman"/>
              </w:rPr>
              <w:t>regorafenib</w:t>
            </w:r>
            <w:r w:rsidRPr="001A6264">
              <w:rPr>
                <w:rFonts w:ascii="Times New Roman" w:eastAsia="標楷體" w:hAnsi="Times New Roman"/>
              </w:rPr>
              <w:t>達到臨床濃度時，</w:t>
            </w:r>
            <w:r w:rsidRPr="001A6264">
              <w:rPr>
                <w:rFonts w:ascii="Times New Roman" w:eastAsia="標楷體" w:hAnsi="Times New Roman"/>
              </w:rPr>
              <w:t>regorafenib</w:t>
            </w:r>
            <w:r w:rsidRPr="001A6264">
              <w:rPr>
                <w:rFonts w:ascii="Times New Roman" w:eastAsia="標楷體" w:hAnsi="Times New Roman"/>
              </w:rPr>
              <w:t>或其在人體中的主要活性代謝物</w:t>
            </w:r>
            <w:r w:rsidRPr="001A6264">
              <w:rPr>
                <w:rFonts w:ascii="Times New Roman" w:eastAsia="標楷體" w:hAnsi="Times New Roman"/>
              </w:rPr>
              <w:t>M-2</w:t>
            </w:r>
            <w:r w:rsidRPr="001A6264">
              <w:rPr>
                <w:rFonts w:ascii="Times New Roman" w:eastAsia="標楷體" w:hAnsi="Times New Roman"/>
              </w:rPr>
              <w:t>與</w:t>
            </w:r>
            <w:r w:rsidRPr="001A6264">
              <w:rPr>
                <w:rFonts w:ascii="Times New Roman" w:eastAsia="標楷體" w:hAnsi="Times New Roman"/>
              </w:rPr>
              <w:t>M-5</w:t>
            </w:r>
            <w:r w:rsidRPr="001A6264">
              <w:rPr>
                <w:rFonts w:ascii="Times New Roman" w:eastAsia="標楷體" w:hAnsi="Times New Roman"/>
              </w:rPr>
              <w:t>抑制了</w:t>
            </w:r>
            <w:r w:rsidRPr="001A6264">
              <w:rPr>
                <w:rFonts w:ascii="Times New Roman" w:eastAsia="標楷體" w:hAnsi="Times New Roman"/>
              </w:rPr>
              <w:t>RET</w:t>
            </w:r>
            <w:r w:rsidRPr="001A6264">
              <w:rPr>
                <w:rFonts w:ascii="Times New Roman" w:eastAsia="標楷體" w:hAnsi="Times New Roman"/>
              </w:rPr>
              <w:t>、</w:t>
            </w:r>
            <w:r w:rsidRPr="001A6264">
              <w:rPr>
                <w:rFonts w:ascii="Times New Roman" w:eastAsia="標楷體" w:hAnsi="Times New Roman"/>
              </w:rPr>
              <w:t>VEGFR1</w:t>
            </w:r>
            <w:r w:rsidRPr="001A6264">
              <w:rPr>
                <w:rFonts w:ascii="Times New Roman" w:eastAsia="標楷體" w:hAnsi="Times New Roman"/>
              </w:rPr>
              <w:t>、</w:t>
            </w:r>
            <w:r>
              <w:rPr>
                <w:rFonts w:ascii="Times New Roman" w:eastAsia="標楷體" w:hAnsi="Times New Roman"/>
              </w:rPr>
              <w:t>VEGFR2</w:t>
            </w:r>
            <w:r w:rsidRPr="001A6264">
              <w:rPr>
                <w:rFonts w:ascii="Times New Roman" w:eastAsia="標楷體" w:hAnsi="Times New Roman"/>
              </w:rPr>
              <w:t>、</w:t>
            </w:r>
            <w:r w:rsidRPr="001A6264">
              <w:rPr>
                <w:rFonts w:ascii="Times New Roman" w:eastAsia="標楷體" w:hAnsi="Times New Roman"/>
              </w:rPr>
              <w:t>VEGFR3</w:t>
            </w:r>
            <w:r w:rsidRPr="001A6264">
              <w:rPr>
                <w:rFonts w:ascii="Times New Roman" w:eastAsia="標楷體" w:hAnsi="Times New Roman"/>
              </w:rPr>
              <w:t>、</w:t>
            </w:r>
            <w:r w:rsidRPr="001A6264">
              <w:rPr>
                <w:rFonts w:ascii="Times New Roman" w:eastAsia="標楷體" w:hAnsi="Times New Roman"/>
              </w:rPr>
              <w:t>KIT</w:t>
            </w:r>
            <w:r w:rsidRPr="001A6264">
              <w:rPr>
                <w:rFonts w:ascii="Times New Roman" w:eastAsia="標楷體" w:hAnsi="Times New Roman"/>
              </w:rPr>
              <w:t>、</w:t>
            </w:r>
            <w:r w:rsidRPr="001A6264">
              <w:rPr>
                <w:rFonts w:ascii="Times New Roman" w:eastAsia="標楷體" w:hAnsi="Times New Roman"/>
              </w:rPr>
              <w:t>PDGFR-alpha</w:t>
            </w:r>
            <w:r w:rsidRPr="001A6264">
              <w:rPr>
                <w:rFonts w:ascii="Times New Roman" w:eastAsia="標楷體" w:hAnsi="Times New Roman"/>
              </w:rPr>
              <w:t>、</w:t>
            </w:r>
            <w:r w:rsidRPr="001A6264">
              <w:rPr>
                <w:rFonts w:ascii="Times New Roman" w:eastAsia="標楷體" w:hAnsi="Times New Roman"/>
              </w:rPr>
              <w:t>PDGFR-beta</w:t>
            </w:r>
            <w:r w:rsidRPr="001A6264">
              <w:rPr>
                <w:rFonts w:ascii="Times New Roman" w:eastAsia="標楷體" w:hAnsi="Times New Roman"/>
              </w:rPr>
              <w:t>、</w:t>
            </w:r>
            <w:r w:rsidRPr="001A6264">
              <w:rPr>
                <w:rFonts w:ascii="Times New Roman" w:eastAsia="標楷體" w:hAnsi="Times New Roman"/>
              </w:rPr>
              <w:t>FGFR1</w:t>
            </w:r>
            <w:r w:rsidRPr="001A6264">
              <w:rPr>
                <w:rFonts w:ascii="Times New Roman" w:eastAsia="標楷體" w:hAnsi="Times New Roman"/>
              </w:rPr>
              <w:t>、</w:t>
            </w:r>
            <w:r w:rsidRPr="001A6264">
              <w:rPr>
                <w:rFonts w:ascii="Times New Roman" w:eastAsia="標楷體" w:hAnsi="Times New Roman"/>
              </w:rPr>
              <w:t>FGFR2</w:t>
            </w:r>
            <w:r w:rsidRPr="001A6264">
              <w:rPr>
                <w:rFonts w:ascii="Times New Roman" w:eastAsia="標楷體" w:hAnsi="Times New Roman"/>
              </w:rPr>
              <w:t>、</w:t>
            </w:r>
            <w:r w:rsidRPr="001A6264">
              <w:rPr>
                <w:rFonts w:ascii="Times New Roman" w:eastAsia="標楷體" w:hAnsi="Times New Roman"/>
              </w:rPr>
              <w:t>TIE2</w:t>
            </w:r>
            <w:r w:rsidRPr="001A6264">
              <w:rPr>
                <w:rFonts w:ascii="Times New Roman" w:eastAsia="標楷體" w:hAnsi="Times New Roman"/>
              </w:rPr>
              <w:t>、</w:t>
            </w:r>
            <w:r w:rsidRPr="001A6264">
              <w:rPr>
                <w:rFonts w:ascii="Times New Roman" w:eastAsia="標楷體" w:hAnsi="Times New Roman"/>
              </w:rPr>
              <w:t>DDR2</w:t>
            </w:r>
            <w:r w:rsidRPr="001A6264">
              <w:rPr>
                <w:rFonts w:ascii="Times New Roman" w:eastAsia="標楷體" w:hAnsi="Times New Roman"/>
              </w:rPr>
              <w:t>、</w:t>
            </w:r>
            <w:r w:rsidRPr="001A6264">
              <w:rPr>
                <w:rFonts w:ascii="Times New Roman" w:eastAsia="標楷體" w:hAnsi="Times New Roman"/>
              </w:rPr>
              <w:t>TrkA</w:t>
            </w:r>
            <w:r w:rsidRPr="001A6264">
              <w:rPr>
                <w:rFonts w:ascii="Times New Roman" w:eastAsia="標楷體" w:hAnsi="Times New Roman"/>
              </w:rPr>
              <w:t>、</w:t>
            </w:r>
            <w:r w:rsidRPr="001A6264">
              <w:rPr>
                <w:rFonts w:ascii="Times New Roman" w:eastAsia="標楷體" w:hAnsi="Times New Roman"/>
              </w:rPr>
              <w:t>Eph2A</w:t>
            </w:r>
            <w:r w:rsidRPr="001A6264">
              <w:rPr>
                <w:rFonts w:ascii="Times New Roman" w:eastAsia="標楷體" w:hAnsi="Times New Roman"/>
              </w:rPr>
              <w:t>、</w:t>
            </w:r>
            <w:r w:rsidRPr="001A6264">
              <w:rPr>
                <w:rFonts w:ascii="Times New Roman" w:eastAsia="標楷體" w:hAnsi="Times New Roman"/>
              </w:rPr>
              <w:t>RAF-1</w:t>
            </w:r>
            <w:r w:rsidRPr="001A6264">
              <w:rPr>
                <w:rFonts w:ascii="Times New Roman" w:eastAsia="標楷體" w:hAnsi="Times New Roman"/>
              </w:rPr>
              <w:t>、</w:t>
            </w:r>
            <w:r w:rsidRPr="001A6264">
              <w:rPr>
                <w:rFonts w:ascii="Times New Roman" w:eastAsia="標楷體" w:hAnsi="Times New Roman"/>
              </w:rPr>
              <w:t>BRAF</w:t>
            </w:r>
            <w:r w:rsidRPr="001A6264">
              <w:rPr>
                <w:rFonts w:ascii="Times New Roman" w:eastAsia="標楷體" w:hAnsi="Times New Roman"/>
              </w:rPr>
              <w:t>、</w:t>
            </w:r>
            <w:r w:rsidRPr="001A6264">
              <w:rPr>
                <w:rFonts w:ascii="Times New Roman" w:eastAsia="標楷體" w:hAnsi="Times New Roman"/>
              </w:rPr>
              <w:t>BRAF V600E</w:t>
            </w:r>
            <w:r w:rsidRPr="001A6264">
              <w:rPr>
                <w:rFonts w:ascii="Times New Roman" w:eastAsia="標楷體" w:hAnsi="Times New Roman"/>
              </w:rPr>
              <w:t>、</w:t>
            </w:r>
            <w:r w:rsidRPr="001A6264">
              <w:rPr>
                <w:rFonts w:ascii="Times New Roman" w:eastAsia="標楷體" w:hAnsi="Times New Roman"/>
              </w:rPr>
              <w:t>SAPK2</w:t>
            </w:r>
            <w:r w:rsidRPr="001A6264">
              <w:rPr>
                <w:rFonts w:ascii="Times New Roman" w:eastAsia="標楷體" w:hAnsi="Times New Roman"/>
              </w:rPr>
              <w:t>、</w:t>
            </w:r>
            <w:r w:rsidRPr="001A6264">
              <w:rPr>
                <w:rFonts w:ascii="Times New Roman" w:eastAsia="標楷體" w:hAnsi="Times New Roman"/>
              </w:rPr>
              <w:t>PTK5</w:t>
            </w:r>
            <w:r w:rsidRPr="001A6264">
              <w:rPr>
                <w:rFonts w:ascii="Times New Roman" w:eastAsia="標楷體" w:hAnsi="Times New Roman"/>
              </w:rPr>
              <w:t>、</w:t>
            </w:r>
            <w:r w:rsidRPr="001A6264">
              <w:rPr>
                <w:rFonts w:ascii="Times New Roman" w:eastAsia="標楷體" w:hAnsi="Times New Roman"/>
              </w:rPr>
              <w:t>Abl</w:t>
            </w:r>
            <w:r w:rsidRPr="001A6264">
              <w:rPr>
                <w:rFonts w:ascii="Times New Roman" w:eastAsia="標楷體" w:hAnsi="Times New Roman"/>
              </w:rPr>
              <w:t>與</w:t>
            </w:r>
            <w:r w:rsidRPr="001A6264">
              <w:rPr>
                <w:rFonts w:ascii="Times New Roman" w:eastAsia="標楷體" w:hAnsi="Times New Roman"/>
              </w:rPr>
              <w:t>CSF1R</w:t>
            </w:r>
            <w:r w:rsidRPr="001A6264">
              <w:rPr>
                <w:rFonts w:ascii="Times New Roman" w:eastAsia="標楷體" w:hAnsi="Times New Roman"/>
              </w:rPr>
              <w:t>的活性。在體內模型中，</w:t>
            </w:r>
            <w:r w:rsidRPr="001A6264">
              <w:rPr>
                <w:rFonts w:ascii="Times New Roman" w:eastAsia="標楷體" w:hAnsi="Times New Roman"/>
              </w:rPr>
              <w:t>regorafenib</w:t>
            </w:r>
            <w:r w:rsidRPr="001A6264">
              <w:rPr>
                <w:rFonts w:ascii="Times New Roman" w:eastAsia="標楷體" w:hAnsi="Times New Roman"/>
              </w:rPr>
              <w:t>曾在大鼠腫瘤模型中展現出抗血管新生作用，並於多個小鼠異種移植模型中展現出抑制腫瘤生長的作用，包括人類大腸直腸癌、胃腸道基質瘤和肝細胞癌。</w:t>
            </w:r>
            <w:r w:rsidRPr="001A6264">
              <w:rPr>
                <w:rFonts w:ascii="Times New Roman" w:eastAsia="標楷體" w:hAnsi="Times New Roman"/>
              </w:rPr>
              <w:t>Regorafenib</w:t>
            </w:r>
            <w:r w:rsidRPr="001A6264">
              <w:rPr>
                <w:rFonts w:ascii="Times New Roman" w:eastAsia="標楷體" w:hAnsi="Times New Roman"/>
              </w:rPr>
              <w:t>也曾在人類大腸直腸癌的一個小鼠異種移植模型及兩個小鼠原位移植模型中，展現出抗轉移作用。</w:t>
            </w:r>
          </w:p>
        </w:tc>
      </w:tr>
      <w:tr w:rsidR="00DF2AEC" w:rsidRPr="001A6264" w:rsidTr="00E1272F">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1A6264" w:rsidRDefault="00DF2AEC" w:rsidP="003555E5">
            <w:pPr>
              <w:pStyle w:val="a9"/>
              <w:widowControl/>
              <w:numPr>
                <w:ilvl w:val="0"/>
                <w:numId w:val="13"/>
              </w:numPr>
              <w:tabs>
                <w:tab w:val="left" w:pos="3255"/>
              </w:tabs>
              <w:ind w:leftChars="0"/>
              <w:rPr>
                <w:rFonts w:ascii="Times New Roman" w:eastAsia="標楷體" w:hAnsi="Times New Roman"/>
              </w:rPr>
            </w:pPr>
            <w:r w:rsidRPr="001A6264">
              <w:rPr>
                <w:rFonts w:ascii="Times New Roman" w:eastAsia="標楷體" w:hAnsi="Times New Roman"/>
              </w:rPr>
              <w:t>大腸直腸癌</w:t>
            </w:r>
            <w:r>
              <w:rPr>
                <w:rFonts w:ascii="Times New Roman" w:eastAsia="標楷體" w:hAnsi="Times New Roman" w:hint="eastAsia"/>
              </w:rPr>
              <w:t>：</w:t>
            </w:r>
            <w:r w:rsidRPr="001A6264">
              <w:rPr>
                <w:rFonts w:ascii="Times New Roman" w:eastAsia="標楷體" w:hAnsi="Times New Roman"/>
              </w:rPr>
              <w:t>Regorafenib</w:t>
            </w:r>
            <w:r w:rsidRPr="001A6264">
              <w:rPr>
                <w:rFonts w:ascii="Times New Roman" w:eastAsia="標楷體" w:hAnsi="Times New Roman"/>
              </w:rPr>
              <w:t>適用於治療先前曾接受下列療法的轉移性大腸直腸癌</w:t>
            </w:r>
            <w:r w:rsidRPr="001A6264">
              <w:rPr>
                <w:rFonts w:ascii="Times New Roman" w:eastAsia="標楷體" w:hAnsi="Times New Roman"/>
              </w:rPr>
              <w:t>(mCRC)</w:t>
            </w:r>
            <w:r w:rsidRPr="001A6264">
              <w:rPr>
                <w:rFonts w:ascii="Times New Roman" w:eastAsia="標楷體" w:hAnsi="Times New Roman"/>
              </w:rPr>
              <w:t>病人，療法包含</w:t>
            </w:r>
            <w:r w:rsidR="00222CD7">
              <w:rPr>
                <w:rFonts w:ascii="Times New Roman" w:eastAsia="標楷體" w:hAnsi="Times New Roman"/>
              </w:rPr>
              <w:t>fluoropyrimidine-</w:t>
            </w:r>
            <w:r w:rsidR="00222CD7">
              <w:rPr>
                <w:rFonts w:ascii="Times New Roman" w:eastAsia="標楷體" w:hAnsi="Times New Roman" w:hint="eastAsia"/>
              </w:rPr>
              <w:t>、</w:t>
            </w:r>
            <w:r w:rsidRPr="001A6264">
              <w:rPr>
                <w:rFonts w:ascii="Times New Roman" w:eastAsia="標楷體" w:hAnsi="Times New Roman"/>
              </w:rPr>
              <w:t>oxaliplatin-</w:t>
            </w:r>
            <w:r w:rsidRPr="001A6264">
              <w:rPr>
                <w:rFonts w:ascii="Times New Roman" w:eastAsia="標楷體" w:hAnsi="Times New Roman"/>
              </w:rPr>
              <w:t>和</w:t>
            </w:r>
            <w:r w:rsidRPr="001A6264">
              <w:rPr>
                <w:rFonts w:ascii="Times New Roman" w:eastAsia="標楷體" w:hAnsi="Times New Roman"/>
              </w:rPr>
              <w:t>irinotecan-</w:t>
            </w:r>
            <w:r w:rsidRPr="001A6264">
              <w:rPr>
                <w:rFonts w:ascii="Times New Roman" w:eastAsia="標楷體" w:hAnsi="Times New Roman"/>
              </w:rPr>
              <w:t>為基礎的化療，和抗血管內皮生長因子</w:t>
            </w:r>
            <w:r w:rsidRPr="001A6264">
              <w:rPr>
                <w:rFonts w:ascii="Times New Roman" w:eastAsia="標楷體" w:hAnsi="Times New Roman"/>
              </w:rPr>
              <w:t>(anti-VEGF)</w:t>
            </w:r>
            <w:r w:rsidRPr="001A6264">
              <w:rPr>
                <w:rFonts w:ascii="Times New Roman" w:eastAsia="標楷體" w:hAnsi="Times New Roman"/>
              </w:rPr>
              <w:t>等療法；若</w:t>
            </w:r>
            <w:r w:rsidRPr="001A6264">
              <w:rPr>
                <w:rFonts w:ascii="Times New Roman" w:eastAsia="標楷體" w:hAnsi="Times New Roman"/>
              </w:rPr>
              <w:t>KRA</w:t>
            </w:r>
            <w:r w:rsidRPr="001A6264">
              <w:rPr>
                <w:rFonts w:ascii="Times New Roman" w:eastAsia="標楷體" w:hAnsi="Times New Roman"/>
              </w:rPr>
              <w:t>為原生型</w:t>
            </w:r>
            <w:r w:rsidRPr="001A6264">
              <w:rPr>
                <w:rFonts w:ascii="Times New Roman" w:eastAsia="標楷體" w:hAnsi="Times New Roman"/>
              </w:rPr>
              <w:t>(wild type)</w:t>
            </w:r>
            <w:r w:rsidRPr="001A6264">
              <w:rPr>
                <w:rFonts w:ascii="Times New Roman" w:eastAsia="標楷體" w:hAnsi="Times New Roman"/>
              </w:rPr>
              <w:t>則需接受過抗表皮生長因子受體</w:t>
            </w:r>
            <w:r w:rsidRPr="001A6264">
              <w:rPr>
                <w:rFonts w:ascii="Times New Roman" w:eastAsia="標楷體" w:hAnsi="Times New Roman"/>
              </w:rPr>
              <w:t>(anti-EGFR)</w:t>
            </w:r>
            <w:r w:rsidRPr="001A6264">
              <w:rPr>
                <w:rFonts w:ascii="Times New Roman" w:eastAsia="標楷體" w:hAnsi="Times New Roman"/>
              </w:rPr>
              <w:t>療法。</w:t>
            </w:r>
          </w:p>
          <w:p w:rsidR="00DF2AEC" w:rsidRPr="001A6264" w:rsidRDefault="00DF2AEC" w:rsidP="003555E5">
            <w:pPr>
              <w:pStyle w:val="a9"/>
              <w:widowControl/>
              <w:numPr>
                <w:ilvl w:val="0"/>
                <w:numId w:val="13"/>
              </w:numPr>
              <w:tabs>
                <w:tab w:val="left" w:pos="3255"/>
              </w:tabs>
              <w:ind w:leftChars="0"/>
              <w:rPr>
                <w:rFonts w:ascii="Times New Roman" w:eastAsia="標楷體" w:hAnsi="Times New Roman"/>
              </w:rPr>
            </w:pPr>
            <w:r w:rsidRPr="001A6264">
              <w:rPr>
                <w:rFonts w:ascii="Times New Roman" w:eastAsia="標楷體" w:hAnsi="Times New Roman"/>
              </w:rPr>
              <w:t>腸胃道間質腫瘤</w:t>
            </w:r>
            <w:r>
              <w:rPr>
                <w:rFonts w:ascii="Times New Roman" w:eastAsia="標楷體" w:hAnsi="Times New Roman" w:hint="eastAsia"/>
              </w:rPr>
              <w:t>：</w:t>
            </w:r>
            <w:r w:rsidRPr="001A6264">
              <w:rPr>
                <w:rFonts w:ascii="Times New Roman" w:eastAsia="標楷體" w:hAnsi="Times New Roman"/>
              </w:rPr>
              <w:t>適用於治療先前曾接受</w:t>
            </w:r>
            <w:r w:rsidRPr="001A6264">
              <w:rPr>
                <w:rFonts w:ascii="Times New Roman" w:eastAsia="標楷體" w:hAnsi="Times New Roman"/>
              </w:rPr>
              <w:t>imatinib mesylate</w:t>
            </w:r>
            <w:r w:rsidRPr="001A6264">
              <w:rPr>
                <w:rFonts w:ascii="Times New Roman" w:eastAsia="標楷體" w:hAnsi="Times New Roman"/>
              </w:rPr>
              <w:t>與</w:t>
            </w:r>
            <w:r w:rsidRPr="001A6264">
              <w:rPr>
                <w:rFonts w:ascii="Times New Roman" w:eastAsia="標楷體" w:hAnsi="Times New Roman"/>
              </w:rPr>
              <w:t>sunitinib malate</w:t>
            </w:r>
            <w:r w:rsidRPr="001A6264">
              <w:rPr>
                <w:rFonts w:ascii="Times New Roman" w:eastAsia="標楷體" w:hAnsi="Times New Roman"/>
              </w:rPr>
              <w:t>病人之局部晚期、無法切除或轉移性的腸胃道間質腫瘤病人。</w:t>
            </w:r>
          </w:p>
          <w:p w:rsidR="00DF2AEC" w:rsidRPr="001A6264" w:rsidRDefault="00DF2AEC" w:rsidP="003555E5">
            <w:pPr>
              <w:pStyle w:val="a9"/>
              <w:widowControl/>
              <w:numPr>
                <w:ilvl w:val="0"/>
                <w:numId w:val="13"/>
              </w:numPr>
              <w:tabs>
                <w:tab w:val="left" w:pos="3255"/>
              </w:tabs>
              <w:ind w:leftChars="0"/>
              <w:rPr>
                <w:rFonts w:ascii="Times New Roman" w:eastAsia="標楷體" w:hAnsi="Times New Roman"/>
              </w:rPr>
            </w:pPr>
            <w:r w:rsidRPr="001A6264">
              <w:rPr>
                <w:rFonts w:ascii="Times New Roman" w:eastAsia="標楷體" w:hAnsi="Times New Roman"/>
              </w:rPr>
              <w:lastRenderedPageBreak/>
              <w:t>肝細胞癌</w:t>
            </w:r>
            <w:r>
              <w:rPr>
                <w:rFonts w:ascii="Times New Roman" w:eastAsia="標楷體" w:hAnsi="Times New Roman" w:hint="eastAsia"/>
              </w:rPr>
              <w:t>：</w:t>
            </w:r>
            <w:r w:rsidRPr="001A6264">
              <w:rPr>
                <w:rFonts w:ascii="Times New Roman" w:eastAsia="標楷體" w:hAnsi="Times New Roman"/>
              </w:rPr>
              <w:t>適用於治療曾接受</w:t>
            </w:r>
            <w:r w:rsidRPr="001A6264">
              <w:rPr>
                <w:rFonts w:ascii="Times New Roman" w:eastAsia="標楷體" w:hAnsi="Times New Roman"/>
              </w:rPr>
              <w:t>sorafenib</w:t>
            </w:r>
            <w:r w:rsidRPr="001A6264">
              <w:rPr>
                <w:rFonts w:ascii="Times New Roman" w:eastAsia="標楷體" w:hAnsi="Times New Roman"/>
              </w:rPr>
              <w:t>治療的肝細胞癌</w:t>
            </w:r>
            <w:r w:rsidRPr="001A6264">
              <w:rPr>
                <w:rFonts w:ascii="Times New Roman" w:eastAsia="標楷體" w:hAnsi="Times New Roman"/>
              </w:rPr>
              <w:t>(HCC)</w:t>
            </w:r>
            <w:r w:rsidRPr="001A6264">
              <w:rPr>
                <w:rFonts w:ascii="Times New Roman" w:eastAsia="標楷體" w:hAnsi="Times New Roman"/>
              </w:rPr>
              <w:t>病人。</w:t>
            </w:r>
          </w:p>
        </w:tc>
      </w:tr>
      <w:tr w:rsidR="00DF2AEC" w:rsidRPr="0001660E" w:rsidTr="00E1272F">
        <w:tc>
          <w:tcPr>
            <w:tcW w:w="15452" w:type="dxa"/>
            <w:gridSpan w:val="2"/>
            <w:tcBorders>
              <w:top w:val="nil"/>
              <w:left w:val="nil"/>
              <w:right w:val="nil"/>
            </w:tcBorders>
          </w:tcPr>
          <w:p w:rsidR="00DF2AEC" w:rsidRPr="0001660E" w:rsidRDefault="00DF2AEC" w:rsidP="003555E5">
            <w:pPr>
              <w:pStyle w:val="a9"/>
              <w:widowControl/>
              <w:numPr>
                <w:ilvl w:val="0"/>
                <w:numId w:val="6"/>
              </w:numPr>
              <w:ind w:leftChars="0"/>
              <w:rPr>
                <w:rFonts w:ascii="Times New Roman" w:eastAsia="標楷體" w:hAnsi="Times New Roman"/>
                <w:b/>
                <w:color w:val="000000" w:themeColor="text1"/>
                <w:szCs w:val="24"/>
              </w:rPr>
            </w:pPr>
            <w:r w:rsidRPr="0001660E">
              <w:rPr>
                <w:rFonts w:ascii="Times New Roman" w:eastAsia="標楷體"/>
                <w:b/>
                <w:bCs/>
                <w:color w:val="000000" w:themeColor="text1"/>
                <w:kern w:val="36"/>
                <w:lang w:bidi="hi-IN"/>
              </w:rPr>
              <w:lastRenderedPageBreak/>
              <w:t>Ponatinib</w:t>
            </w:r>
          </w:p>
        </w:tc>
      </w:tr>
      <w:tr w:rsidR="00DF2AEC" w:rsidRPr="00386048" w:rsidTr="00E1272F">
        <w:tc>
          <w:tcPr>
            <w:tcW w:w="970" w:type="dxa"/>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F2AEC" w:rsidRPr="00386048" w:rsidRDefault="00DF2AEC" w:rsidP="00E1272F">
            <w:pPr>
              <w:widowControl/>
              <w:rPr>
                <w:rFonts w:ascii="Times New Roman" w:eastAsia="標楷體" w:hAnsi="Times New Roman"/>
              </w:rPr>
            </w:pPr>
            <w:r>
              <w:rPr>
                <w:rFonts w:ascii="Times New Roman" w:eastAsia="標楷體" w:hAnsi="Times New Roman"/>
              </w:rPr>
              <w:t>Ponatinib</w:t>
            </w:r>
            <w:r w:rsidRPr="00AF5EF5">
              <w:rPr>
                <w:rFonts w:ascii="Times New Roman" w:eastAsia="標楷體" w:hAnsi="Times New Roman"/>
              </w:rPr>
              <w:t>為一激酶抑制劑</w:t>
            </w:r>
            <w:r w:rsidRPr="00AF5EF5">
              <w:rPr>
                <w:rFonts w:ascii="Times New Roman" w:eastAsia="標楷體" w:hAnsi="Times New Roman"/>
              </w:rPr>
              <w:t>(kinase inhibitor)</w:t>
            </w:r>
            <w:r w:rsidRPr="00AF5EF5">
              <w:rPr>
                <w:rFonts w:ascii="Times New Roman" w:eastAsia="標楷體" w:hAnsi="Times New Roman"/>
              </w:rPr>
              <w:t>。在體外，</w:t>
            </w:r>
            <w:r>
              <w:rPr>
                <w:rFonts w:ascii="Times New Roman" w:eastAsia="標楷體" w:hAnsi="Times New Roman"/>
              </w:rPr>
              <w:t>ponatinib</w:t>
            </w:r>
            <w:r w:rsidRPr="00AF5EF5">
              <w:rPr>
                <w:rFonts w:ascii="Times New Roman" w:eastAsia="標楷體" w:hAnsi="Times New Roman"/>
              </w:rPr>
              <w:t>抑制</w:t>
            </w:r>
            <w:r>
              <w:rPr>
                <w:rFonts w:ascii="Times New Roman" w:eastAsia="標楷體" w:hAnsi="Times New Roman"/>
              </w:rPr>
              <w:t>ABL</w:t>
            </w:r>
            <w:r w:rsidRPr="00AF5EF5">
              <w:rPr>
                <w:rFonts w:ascii="Times New Roman" w:eastAsia="標楷體" w:hAnsi="Times New Roman"/>
              </w:rPr>
              <w:t>與</w:t>
            </w:r>
            <w:r>
              <w:rPr>
                <w:rFonts w:ascii="Times New Roman" w:eastAsia="標楷體" w:hAnsi="Times New Roman"/>
              </w:rPr>
              <w:t>T315I</w:t>
            </w:r>
            <w:r w:rsidRPr="00AF5EF5">
              <w:rPr>
                <w:rFonts w:ascii="Times New Roman" w:eastAsia="標楷體" w:hAnsi="Times New Roman"/>
              </w:rPr>
              <w:t>突變型</w:t>
            </w:r>
            <w:r>
              <w:rPr>
                <w:rFonts w:ascii="Times New Roman" w:eastAsia="標楷體" w:hAnsi="Times New Roman"/>
              </w:rPr>
              <w:t>ABL</w:t>
            </w:r>
            <w:r w:rsidRPr="00AF5EF5">
              <w:rPr>
                <w:rFonts w:ascii="Times New Roman" w:eastAsia="標楷體" w:hAnsi="Times New Roman"/>
              </w:rPr>
              <w:t>的酪胺酸激酶</w:t>
            </w:r>
            <w:r w:rsidRPr="00AF5EF5">
              <w:rPr>
                <w:rFonts w:ascii="Times New Roman" w:eastAsia="標楷體" w:hAnsi="Times New Roman"/>
              </w:rPr>
              <w:t>(tyrosine kinase)</w:t>
            </w:r>
            <w:r w:rsidRPr="00AF5EF5">
              <w:rPr>
                <w:rFonts w:ascii="Times New Roman" w:eastAsia="標楷體" w:hAnsi="Times New Roman"/>
              </w:rPr>
              <w:t>活性</w:t>
            </w:r>
            <w:r>
              <w:rPr>
                <w:rFonts w:ascii="Times New Roman" w:eastAsia="標楷體" w:hAnsi="Times New Roman" w:hint="eastAsia"/>
              </w:rPr>
              <w:t>，</w:t>
            </w:r>
            <w:r w:rsidRPr="00AF5EF5">
              <w:rPr>
                <w:rFonts w:ascii="Times New Roman" w:eastAsia="標楷體" w:hAnsi="Times New Roman"/>
              </w:rPr>
              <w:t xml:space="preserve">ponatinib </w:t>
            </w:r>
            <w:r>
              <w:rPr>
                <w:rFonts w:ascii="Times New Roman" w:eastAsia="標楷體" w:hAnsi="Times New Roman" w:hint="eastAsia"/>
              </w:rPr>
              <w:t>亦</w:t>
            </w:r>
            <w:r w:rsidRPr="00AF5EF5">
              <w:rPr>
                <w:rFonts w:ascii="Times New Roman" w:eastAsia="標楷體" w:hAnsi="Times New Roman"/>
              </w:rPr>
              <w:t>抑制其他激酶的活性，包括</w:t>
            </w:r>
            <w:r w:rsidRPr="00AF5EF5">
              <w:rPr>
                <w:rFonts w:ascii="Times New Roman" w:eastAsia="標楷體" w:hAnsi="Times New Roman"/>
              </w:rPr>
              <w:t>VEGFR</w:t>
            </w:r>
            <w:r w:rsidRPr="00AF5EF5">
              <w:rPr>
                <w:rFonts w:ascii="Times New Roman" w:eastAsia="標楷體" w:hAnsi="Times New Roman"/>
              </w:rPr>
              <w:t>、</w:t>
            </w:r>
            <w:r w:rsidRPr="00AF5EF5">
              <w:rPr>
                <w:rFonts w:ascii="Times New Roman" w:eastAsia="標楷體" w:hAnsi="Times New Roman"/>
              </w:rPr>
              <w:t>PDGFR</w:t>
            </w:r>
            <w:r w:rsidRPr="00AF5EF5">
              <w:rPr>
                <w:rFonts w:ascii="Times New Roman" w:eastAsia="標楷體" w:hAnsi="Times New Roman"/>
              </w:rPr>
              <w:t>、</w:t>
            </w:r>
            <w:r w:rsidRPr="00AF5EF5">
              <w:rPr>
                <w:rFonts w:ascii="Times New Roman" w:eastAsia="標楷體" w:hAnsi="Times New Roman"/>
              </w:rPr>
              <w:t>FGFR</w:t>
            </w:r>
            <w:r w:rsidRPr="00AF5EF5">
              <w:rPr>
                <w:rFonts w:ascii="Times New Roman" w:eastAsia="標楷體" w:hAnsi="Times New Roman"/>
              </w:rPr>
              <w:t>、</w:t>
            </w:r>
            <w:r>
              <w:rPr>
                <w:rFonts w:ascii="Times New Roman" w:eastAsia="標楷體" w:hAnsi="Times New Roman"/>
              </w:rPr>
              <w:t>EPH</w:t>
            </w:r>
            <w:r w:rsidRPr="00AF5EF5">
              <w:rPr>
                <w:rFonts w:ascii="Times New Roman" w:eastAsia="標楷體" w:hAnsi="Times New Roman"/>
              </w:rPr>
              <w:t>受體和</w:t>
            </w:r>
            <w:r>
              <w:rPr>
                <w:rFonts w:ascii="Times New Roman" w:eastAsia="標楷體" w:hAnsi="Times New Roman"/>
              </w:rPr>
              <w:t>SRC</w:t>
            </w:r>
            <w:r w:rsidRPr="00AF5EF5">
              <w:rPr>
                <w:rFonts w:ascii="Times New Roman" w:eastAsia="標楷體" w:hAnsi="Times New Roman"/>
              </w:rPr>
              <w:t>家族激酶以及</w:t>
            </w:r>
            <w:r w:rsidRPr="00AF5EF5">
              <w:rPr>
                <w:rFonts w:ascii="Times New Roman" w:eastAsia="標楷體" w:hAnsi="Times New Roman"/>
              </w:rPr>
              <w:t>KIT</w:t>
            </w:r>
            <w:r w:rsidRPr="00AF5EF5">
              <w:rPr>
                <w:rFonts w:ascii="Times New Roman" w:eastAsia="標楷體" w:hAnsi="Times New Roman"/>
              </w:rPr>
              <w:t>、</w:t>
            </w:r>
            <w:r w:rsidRPr="00AF5EF5">
              <w:rPr>
                <w:rFonts w:ascii="Times New Roman" w:eastAsia="標楷體" w:hAnsi="Times New Roman"/>
              </w:rPr>
              <w:t>RET</w:t>
            </w:r>
            <w:r w:rsidRPr="00AF5EF5">
              <w:rPr>
                <w:rFonts w:ascii="Times New Roman" w:eastAsia="標楷體" w:hAnsi="Times New Roman"/>
              </w:rPr>
              <w:t>、</w:t>
            </w:r>
            <w:r w:rsidRPr="00AF5EF5">
              <w:rPr>
                <w:rFonts w:ascii="Times New Roman" w:eastAsia="標楷體" w:hAnsi="Times New Roman"/>
              </w:rPr>
              <w:t xml:space="preserve">TIE2 </w:t>
            </w:r>
            <w:r w:rsidRPr="00AF5EF5">
              <w:rPr>
                <w:rFonts w:ascii="Times New Roman" w:eastAsia="標楷體" w:hAnsi="Times New Roman"/>
              </w:rPr>
              <w:t>和</w:t>
            </w:r>
            <w:r w:rsidRPr="00AF5EF5">
              <w:rPr>
                <w:rFonts w:ascii="Times New Roman" w:eastAsia="標楷體" w:hAnsi="Times New Roman"/>
              </w:rPr>
              <w:t>FLT3</w:t>
            </w:r>
            <w:r w:rsidRPr="00AF5EF5">
              <w:rPr>
                <w:rFonts w:ascii="Times New Roman" w:eastAsia="標楷體" w:hAnsi="Times New Roman"/>
              </w:rPr>
              <w:t>。在體外，</w:t>
            </w:r>
            <w:r>
              <w:rPr>
                <w:rFonts w:ascii="Times New Roman" w:eastAsia="標楷體" w:hAnsi="Times New Roman"/>
              </w:rPr>
              <w:t>ponatinib</w:t>
            </w:r>
            <w:r w:rsidRPr="00AF5EF5">
              <w:rPr>
                <w:rFonts w:ascii="Times New Roman" w:eastAsia="標楷體" w:hAnsi="Times New Roman"/>
              </w:rPr>
              <w:t>可抑制表現正常或突變的</w:t>
            </w:r>
            <w:r>
              <w:rPr>
                <w:rFonts w:ascii="Times New Roman" w:eastAsia="標楷體" w:hAnsi="Times New Roman"/>
              </w:rPr>
              <w:t>BCR-ABL</w:t>
            </w:r>
            <w:r w:rsidRPr="00AF5EF5">
              <w:rPr>
                <w:rFonts w:ascii="Times New Roman" w:eastAsia="標楷體" w:hAnsi="Times New Roman"/>
              </w:rPr>
              <w:t>的細胞活性，包括</w:t>
            </w:r>
            <w:r w:rsidRPr="00AF5EF5">
              <w:rPr>
                <w:rFonts w:ascii="Times New Roman" w:eastAsia="標楷體" w:hAnsi="Times New Roman"/>
              </w:rPr>
              <w:t>T315I</w:t>
            </w:r>
            <w:r w:rsidRPr="00AF5EF5">
              <w:rPr>
                <w:rFonts w:ascii="Times New Roman" w:eastAsia="標楷體" w:hAnsi="Times New Roman"/>
              </w:rPr>
              <w:t>。與對照組相比，小鼠使用</w:t>
            </w:r>
            <w:r>
              <w:rPr>
                <w:rFonts w:ascii="Times New Roman" w:eastAsia="標楷體" w:hAnsi="Times New Roman"/>
              </w:rPr>
              <w:t>ponatinib</w:t>
            </w:r>
            <w:r w:rsidRPr="00AF5EF5">
              <w:rPr>
                <w:rFonts w:ascii="Times New Roman" w:eastAsia="標楷體" w:hAnsi="Times New Roman"/>
              </w:rPr>
              <w:t>治療降低了具有正常或</w:t>
            </w:r>
            <w:r w:rsidR="00222CD7">
              <w:rPr>
                <w:rFonts w:ascii="Times New Roman" w:eastAsia="標楷體" w:hAnsi="Times New Roman"/>
              </w:rPr>
              <w:t>T315I</w:t>
            </w:r>
            <w:r w:rsidRPr="00AF5EF5">
              <w:rPr>
                <w:rFonts w:ascii="Times New Roman" w:eastAsia="標楷體" w:hAnsi="Times New Roman"/>
              </w:rPr>
              <w:t>突變型</w:t>
            </w:r>
            <w:r w:rsidRPr="00AF5EF5">
              <w:rPr>
                <w:rFonts w:ascii="Times New Roman" w:eastAsia="標楷體" w:hAnsi="Times New Roman"/>
              </w:rPr>
              <w:t xml:space="preserve"> BCR-ABL </w:t>
            </w:r>
            <w:r w:rsidRPr="00AF5EF5">
              <w:rPr>
                <w:rFonts w:ascii="Times New Roman" w:eastAsia="標楷體" w:hAnsi="Times New Roman"/>
              </w:rPr>
              <w:t>腫瘤的大小。</w:t>
            </w:r>
          </w:p>
        </w:tc>
      </w:tr>
      <w:tr w:rsidR="00DF2AEC" w:rsidRPr="0058462B" w:rsidTr="00E1272F">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58462B" w:rsidRDefault="00DF2AEC" w:rsidP="00E1272F">
            <w:pPr>
              <w:widowControl/>
              <w:rPr>
                <w:rFonts w:ascii="Times New Roman" w:eastAsia="標楷體" w:hAnsi="Times New Roman"/>
              </w:rPr>
            </w:pPr>
            <w:r w:rsidRPr="0058462B">
              <w:rPr>
                <w:rFonts w:ascii="Times New Roman" w:eastAsia="標楷體" w:hAnsi="Times New Roman"/>
              </w:rPr>
              <w:t>Ponatinib</w:t>
            </w:r>
            <w:r w:rsidRPr="0058462B">
              <w:rPr>
                <w:rFonts w:ascii="Times New Roman" w:eastAsia="標楷體" w:hAnsi="Times New Roman"/>
              </w:rPr>
              <w:t>是一種酪胺酸激酶抑制劑</w:t>
            </w:r>
            <w:r w:rsidRPr="0058462B">
              <w:rPr>
                <w:rFonts w:ascii="Times New Roman" w:eastAsia="標楷體" w:hAnsi="Times New Roman"/>
              </w:rPr>
              <w:t>(tyrosine kinase inhibitors, TKI)</w:t>
            </w:r>
            <w:r w:rsidRPr="0058462B">
              <w:rPr>
                <w:rFonts w:ascii="Times New Roman" w:eastAsia="標楷體" w:hAnsi="Times New Roman"/>
              </w:rPr>
              <w:t>，適用於：</w:t>
            </w:r>
          </w:p>
          <w:p w:rsidR="00DF2AEC" w:rsidRDefault="00DF2AEC" w:rsidP="003555E5">
            <w:pPr>
              <w:pStyle w:val="a9"/>
              <w:widowControl/>
              <w:numPr>
                <w:ilvl w:val="0"/>
                <w:numId w:val="9"/>
              </w:numPr>
              <w:ind w:leftChars="0"/>
              <w:rPr>
                <w:rFonts w:ascii="Times New Roman" w:eastAsia="標楷體" w:hAnsi="Times New Roman"/>
              </w:rPr>
            </w:pPr>
            <w:r w:rsidRPr="0058462B">
              <w:rPr>
                <w:rFonts w:ascii="Times New Roman" w:eastAsia="標楷體" w:hAnsi="Times New Roman"/>
              </w:rPr>
              <w:t>治療無法以其他</w:t>
            </w:r>
            <w:r w:rsidRPr="0058462B">
              <w:rPr>
                <w:rFonts w:ascii="Times New Roman" w:eastAsia="標楷體" w:hAnsi="Times New Roman"/>
              </w:rPr>
              <w:t>TKI</w:t>
            </w:r>
            <w:r w:rsidRPr="0058462B">
              <w:rPr>
                <w:rFonts w:ascii="Times New Roman" w:eastAsia="標楷體" w:hAnsi="Times New Roman"/>
              </w:rPr>
              <w:t>治療的慢性期、加速期或急性期慢性骨髓性白血病</w:t>
            </w:r>
            <w:r w:rsidRPr="0058462B">
              <w:rPr>
                <w:rFonts w:ascii="Times New Roman" w:eastAsia="標楷體" w:hAnsi="Times New Roman"/>
              </w:rPr>
              <w:t>(CML)</w:t>
            </w:r>
            <w:r w:rsidRPr="0058462B">
              <w:rPr>
                <w:rFonts w:ascii="Times New Roman" w:eastAsia="標楷體" w:hAnsi="Times New Roman"/>
              </w:rPr>
              <w:t>或費城染色體陽性急性淋巴性白血病</w:t>
            </w:r>
            <w:r w:rsidRPr="0058462B">
              <w:rPr>
                <w:rFonts w:ascii="Times New Roman" w:eastAsia="標楷體" w:hAnsi="Times New Roman"/>
              </w:rPr>
              <w:t>(Ph +ALL)</w:t>
            </w:r>
            <w:r w:rsidRPr="0058462B">
              <w:rPr>
                <w:rFonts w:ascii="Times New Roman" w:eastAsia="標楷體" w:hAnsi="Times New Roman"/>
              </w:rPr>
              <w:t>成人患者。</w:t>
            </w:r>
          </w:p>
          <w:p w:rsidR="00DF2AEC" w:rsidRPr="0058462B" w:rsidRDefault="00DF2AEC" w:rsidP="003555E5">
            <w:pPr>
              <w:pStyle w:val="a9"/>
              <w:widowControl/>
              <w:numPr>
                <w:ilvl w:val="0"/>
                <w:numId w:val="9"/>
              </w:numPr>
              <w:ind w:leftChars="0"/>
              <w:rPr>
                <w:rFonts w:ascii="Times New Roman" w:eastAsia="標楷體" w:hAnsi="Times New Roman"/>
              </w:rPr>
            </w:pPr>
            <w:r w:rsidRPr="0058462B">
              <w:rPr>
                <w:rFonts w:ascii="Times New Roman" w:eastAsia="標楷體" w:hAnsi="Times New Roman"/>
              </w:rPr>
              <w:t>治療</w:t>
            </w:r>
            <w:r w:rsidRPr="0058462B">
              <w:rPr>
                <w:rFonts w:ascii="Times New Roman" w:eastAsia="標楷體" w:hAnsi="Times New Roman"/>
              </w:rPr>
              <w:t xml:space="preserve">T315I </w:t>
            </w:r>
            <w:r w:rsidRPr="0058462B">
              <w:rPr>
                <w:rFonts w:ascii="Times New Roman" w:eastAsia="標楷體" w:hAnsi="Times New Roman"/>
              </w:rPr>
              <w:t>陽性之慢性期、加速期或急性期慢性骨髓性白血病</w:t>
            </w:r>
            <w:r w:rsidRPr="0058462B">
              <w:rPr>
                <w:rFonts w:ascii="Times New Roman" w:eastAsia="標楷體" w:hAnsi="Times New Roman"/>
              </w:rPr>
              <w:t>(CML)</w:t>
            </w:r>
            <w:r w:rsidRPr="0058462B">
              <w:rPr>
                <w:rFonts w:ascii="Times New Roman" w:eastAsia="標楷體" w:hAnsi="Times New Roman"/>
              </w:rPr>
              <w:t>或</w:t>
            </w:r>
            <w:r w:rsidRPr="0058462B">
              <w:rPr>
                <w:rFonts w:ascii="Times New Roman" w:eastAsia="標楷體" w:hAnsi="Times New Roman"/>
              </w:rPr>
              <w:t xml:space="preserve">T315I </w:t>
            </w:r>
            <w:r w:rsidRPr="0058462B">
              <w:rPr>
                <w:rFonts w:ascii="Times New Roman" w:eastAsia="標楷體" w:hAnsi="Times New Roman"/>
              </w:rPr>
              <w:t>陽性之費城染色體陽性急性淋巴性白血病</w:t>
            </w:r>
            <w:r w:rsidRPr="0058462B">
              <w:rPr>
                <w:rFonts w:ascii="Times New Roman" w:eastAsia="標楷體" w:hAnsi="Times New Roman"/>
              </w:rPr>
              <w:t>(Ph+ALL)</w:t>
            </w:r>
            <w:r w:rsidRPr="0058462B">
              <w:rPr>
                <w:rFonts w:ascii="Times New Roman" w:eastAsia="標楷體" w:hAnsi="Times New Roman"/>
              </w:rPr>
              <w:t>成人患者。</w:t>
            </w:r>
          </w:p>
        </w:tc>
      </w:tr>
      <w:tr w:rsidR="00DF2AEC" w:rsidRPr="0001660E" w:rsidTr="00E1272F">
        <w:tc>
          <w:tcPr>
            <w:tcW w:w="15452" w:type="dxa"/>
            <w:gridSpan w:val="2"/>
            <w:tcBorders>
              <w:left w:val="nil"/>
              <w:right w:val="nil"/>
            </w:tcBorders>
          </w:tcPr>
          <w:p w:rsidR="00DF2AEC" w:rsidRPr="0001660E" w:rsidRDefault="00DF2AEC"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Axitinib</w:t>
            </w:r>
          </w:p>
        </w:tc>
      </w:tr>
      <w:tr w:rsidR="00DF2AEC" w:rsidRPr="00023B86" w:rsidTr="00E1272F">
        <w:tc>
          <w:tcPr>
            <w:tcW w:w="970" w:type="dxa"/>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F2AEC" w:rsidRPr="00023B86" w:rsidRDefault="00DF2AEC" w:rsidP="00E1272F">
            <w:pPr>
              <w:widowControl/>
              <w:rPr>
                <w:rFonts w:ascii="Times New Roman" w:eastAsia="標楷體" w:hAnsi="Times New Roman"/>
              </w:rPr>
            </w:pPr>
            <w:r w:rsidRPr="00AF5EF5">
              <w:rPr>
                <w:rFonts w:ascii="Times New Roman" w:eastAsia="標楷體" w:hAnsi="Times New Roman"/>
              </w:rPr>
              <w:t>Axitinib</w:t>
            </w:r>
            <w:r w:rsidRPr="00AF5EF5">
              <w:rPr>
                <w:rFonts w:ascii="Times New Roman" w:eastAsia="標楷體" w:hAnsi="Times New Roman"/>
              </w:rPr>
              <w:t>在治療血漿濃度下可抑制酪胺酸激</w:t>
            </w:r>
            <w:r w:rsidRPr="0058462B">
              <w:rPr>
                <w:rFonts w:ascii="Times New Roman" w:eastAsia="標楷體" w:hAnsi="Times New Roman"/>
              </w:rPr>
              <w:t>酶</w:t>
            </w:r>
            <w:r w:rsidRPr="00AF5EF5">
              <w:rPr>
                <w:rFonts w:ascii="Times New Roman" w:eastAsia="標楷體" w:hAnsi="Times New Roman"/>
              </w:rPr>
              <w:t>，包括血管內皮生長因子接受體</w:t>
            </w:r>
            <w:r w:rsidRPr="00AF5EF5">
              <w:rPr>
                <w:rFonts w:ascii="Times New Roman" w:eastAsia="標楷體" w:hAnsi="Times New Roman"/>
              </w:rPr>
              <w:t>(VEGFR)-1</w:t>
            </w:r>
            <w:r w:rsidRPr="00AF5EF5">
              <w:rPr>
                <w:rFonts w:ascii="Times New Roman" w:eastAsia="標楷體" w:hAnsi="Times New Roman"/>
              </w:rPr>
              <w:t>、</w:t>
            </w:r>
            <w:r w:rsidRPr="00AF5EF5">
              <w:rPr>
                <w:rFonts w:ascii="Times New Roman" w:eastAsia="標楷體" w:hAnsi="Times New Roman"/>
              </w:rPr>
              <w:t>VEGFR-2</w:t>
            </w:r>
            <w:r w:rsidRPr="00AF5EF5">
              <w:rPr>
                <w:rFonts w:ascii="Times New Roman" w:eastAsia="標楷體" w:hAnsi="Times New Roman"/>
              </w:rPr>
              <w:t>及</w:t>
            </w:r>
            <w:r w:rsidRPr="00AF5EF5">
              <w:rPr>
                <w:rFonts w:ascii="Times New Roman" w:eastAsia="標楷體" w:hAnsi="Times New Roman"/>
              </w:rPr>
              <w:t>VEGFR-3</w:t>
            </w:r>
            <w:r w:rsidRPr="00AF5EF5">
              <w:rPr>
                <w:rFonts w:ascii="Times New Roman" w:eastAsia="標楷體" w:hAnsi="Times New Roman"/>
              </w:rPr>
              <w:t>的作用。這些接受體都和病理性血管新生、腫瘤生長及癌症進展有關。體外及老鼠試驗已證實</w:t>
            </w:r>
            <w:r>
              <w:rPr>
                <w:rFonts w:ascii="Times New Roman" w:eastAsia="標楷體" w:hAnsi="Times New Roman"/>
              </w:rPr>
              <w:t>a</w:t>
            </w:r>
            <w:r w:rsidRPr="00AF5EF5">
              <w:rPr>
                <w:rFonts w:ascii="Times New Roman" w:eastAsia="標楷體" w:hAnsi="Times New Roman"/>
              </w:rPr>
              <w:t>xitinib</w:t>
            </w:r>
            <w:r w:rsidRPr="00AF5EF5">
              <w:rPr>
                <w:rFonts w:ascii="Times New Roman" w:eastAsia="標楷體" w:hAnsi="Times New Roman"/>
              </w:rPr>
              <w:t>可抑制</w:t>
            </w:r>
            <w:r w:rsidRPr="00AF5EF5">
              <w:rPr>
                <w:rFonts w:ascii="Times New Roman" w:eastAsia="標楷體" w:hAnsi="Times New Roman"/>
              </w:rPr>
              <w:t>VEGF</w:t>
            </w:r>
            <w:r w:rsidRPr="00AF5EF5">
              <w:rPr>
                <w:rFonts w:ascii="Times New Roman" w:eastAsia="標楷體" w:hAnsi="Times New Roman"/>
              </w:rPr>
              <w:t>所媒介的內皮細胞增生與存活的作用。在異種移植腫瘤的老鼠試驗中，</w:t>
            </w:r>
            <w:r w:rsidRPr="00AF5EF5">
              <w:rPr>
                <w:rFonts w:ascii="Times New Roman" w:eastAsia="標楷體" w:hAnsi="Times New Roman"/>
              </w:rPr>
              <w:t>axitinib</w:t>
            </w:r>
            <w:r w:rsidRPr="00AF5EF5">
              <w:rPr>
                <w:rFonts w:ascii="Times New Roman" w:eastAsia="標楷體" w:hAnsi="Times New Roman"/>
              </w:rPr>
              <w:t>可抑制腫瘤生長和</w:t>
            </w:r>
            <w:r w:rsidRPr="00AF5EF5">
              <w:rPr>
                <w:rFonts w:ascii="Times New Roman" w:eastAsia="標楷體" w:hAnsi="Times New Roman"/>
              </w:rPr>
              <w:t>VEGFR-2</w:t>
            </w:r>
            <w:r w:rsidRPr="00AF5EF5">
              <w:rPr>
                <w:rFonts w:ascii="Times New Roman" w:eastAsia="標楷體" w:hAnsi="Times New Roman"/>
              </w:rPr>
              <w:t>的磷酸化作用。</w:t>
            </w:r>
          </w:p>
        </w:tc>
      </w:tr>
      <w:tr w:rsidR="00DF2AEC" w:rsidRPr="00AF5EF5" w:rsidTr="00E1272F">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AF5EF5" w:rsidRDefault="00DF2AEC" w:rsidP="00E1272F">
            <w:pPr>
              <w:widowControl/>
              <w:rPr>
                <w:rFonts w:ascii="Times New Roman" w:eastAsia="標楷體" w:hAnsi="Times New Roman"/>
              </w:rPr>
            </w:pPr>
            <w:r w:rsidRPr="00AF5EF5">
              <w:rPr>
                <w:rFonts w:ascii="Times New Roman" w:eastAsia="標楷體" w:hAnsi="Times New Roman"/>
              </w:rPr>
              <w:t>Axitinib</w:t>
            </w:r>
            <w:r w:rsidRPr="00AF5EF5">
              <w:rPr>
                <w:rFonts w:ascii="Times New Roman" w:eastAsia="標楷體" w:hAnsi="Times New Roman"/>
              </w:rPr>
              <w:t>適用於治療已接受過</w:t>
            </w:r>
            <w:r w:rsidRPr="00AF5EF5">
              <w:rPr>
                <w:rFonts w:ascii="Times New Roman" w:eastAsia="標楷體" w:hAnsi="Times New Roman"/>
              </w:rPr>
              <w:t>sunitinib</w:t>
            </w:r>
            <w:r w:rsidRPr="00AF5EF5">
              <w:rPr>
                <w:rFonts w:ascii="Times New Roman" w:eastAsia="標楷體" w:hAnsi="Times New Roman"/>
              </w:rPr>
              <w:t>或</w:t>
            </w:r>
            <w:r w:rsidRPr="00AF5EF5">
              <w:rPr>
                <w:rFonts w:ascii="Times New Roman" w:eastAsia="標楷體" w:hAnsi="Times New Roman"/>
              </w:rPr>
              <w:t>cytokine</w:t>
            </w:r>
            <w:r w:rsidRPr="00AF5EF5">
              <w:rPr>
                <w:rFonts w:ascii="Times New Roman" w:eastAsia="標楷體" w:hAnsi="Times New Roman"/>
              </w:rPr>
              <w:t>治療失敗的晚期腎細胞癌</w:t>
            </w:r>
            <w:r w:rsidRPr="00AF5EF5">
              <w:rPr>
                <w:rFonts w:ascii="Times New Roman" w:eastAsia="標楷體" w:hAnsi="Times New Roman"/>
              </w:rPr>
              <w:t>(RCC)</w:t>
            </w:r>
            <w:r w:rsidRPr="00AF5EF5">
              <w:rPr>
                <w:rFonts w:ascii="Times New Roman" w:eastAsia="標楷體" w:hAnsi="Times New Roman"/>
              </w:rPr>
              <w:t>病患。</w:t>
            </w:r>
          </w:p>
        </w:tc>
      </w:tr>
      <w:tr w:rsidR="00C7054A" w:rsidRPr="0001660E" w:rsidTr="00E1272F">
        <w:tc>
          <w:tcPr>
            <w:tcW w:w="15452" w:type="dxa"/>
            <w:gridSpan w:val="2"/>
            <w:tcBorders>
              <w:top w:val="nil"/>
              <w:left w:val="nil"/>
              <w:right w:val="nil"/>
            </w:tcBorders>
          </w:tcPr>
          <w:p w:rsidR="00C7054A" w:rsidRPr="0001660E" w:rsidRDefault="00C7054A" w:rsidP="003555E5">
            <w:pPr>
              <w:pStyle w:val="a9"/>
              <w:widowControl/>
              <w:numPr>
                <w:ilvl w:val="0"/>
                <w:numId w:val="6"/>
              </w:numPr>
              <w:ind w:leftChars="0"/>
              <w:rPr>
                <w:rFonts w:ascii="Times New Roman" w:eastAsia="標楷體"/>
                <w:b/>
                <w:bCs/>
                <w:color w:val="000000" w:themeColor="text1"/>
                <w:kern w:val="36"/>
                <w:lang w:bidi="hi-IN"/>
              </w:rPr>
            </w:pPr>
            <w:r w:rsidRPr="0001660E">
              <w:rPr>
                <w:rFonts w:ascii="Times New Roman" w:eastAsia="標楷體"/>
                <w:b/>
                <w:bCs/>
                <w:color w:val="000000" w:themeColor="text1"/>
                <w:kern w:val="36"/>
                <w:lang w:bidi="hi-IN"/>
              </w:rPr>
              <w:t>Sunitinib</w:t>
            </w:r>
          </w:p>
        </w:tc>
      </w:tr>
      <w:tr w:rsidR="00C7054A" w:rsidRPr="00386048" w:rsidTr="00C7054A">
        <w:tc>
          <w:tcPr>
            <w:tcW w:w="970" w:type="dxa"/>
            <w:tcBorders>
              <w:bottom w:val="single" w:sz="4" w:space="0" w:color="auto"/>
            </w:tcBorders>
            <w:vAlign w:val="center"/>
          </w:tcPr>
          <w:p w:rsidR="00C7054A" w:rsidRPr="00386048" w:rsidRDefault="00C7054A"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Borders>
              <w:bottom w:val="single" w:sz="4" w:space="0" w:color="auto"/>
            </w:tcBorders>
          </w:tcPr>
          <w:p w:rsidR="00C7054A" w:rsidRPr="00386048" w:rsidRDefault="00C7054A" w:rsidP="00E1272F">
            <w:pPr>
              <w:widowControl/>
              <w:rPr>
                <w:rFonts w:ascii="Times New Roman" w:eastAsia="標楷體" w:hAnsi="Times New Roman"/>
              </w:rPr>
            </w:pP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 xml:space="preserve"> </w:t>
            </w:r>
            <w:r>
              <w:rPr>
                <w:rFonts w:ascii="Times New Roman" w:eastAsia="標楷體" w:hAnsi="Times New Roman"/>
              </w:rPr>
              <w:t>malate</w:t>
            </w:r>
            <w:r>
              <w:rPr>
                <w:rFonts w:ascii="Times New Roman" w:eastAsia="標楷體" w:hAnsi="Times New Roman" w:hint="eastAsia"/>
              </w:rPr>
              <w:t>是一個小分子，可抑制多種酪胺基酸激酶接受體</w:t>
            </w:r>
            <w:r>
              <w:rPr>
                <w:rFonts w:ascii="Times New Roman" w:eastAsia="標楷體" w:hAnsi="Times New Roman" w:hint="eastAsia"/>
              </w:rPr>
              <w:t>(RTK)</w:t>
            </w:r>
            <w:r>
              <w:rPr>
                <w:rFonts w:ascii="Times New Roman" w:eastAsia="標楷體" w:hAnsi="Times New Roman" w:hint="eastAsia"/>
              </w:rPr>
              <w:t>，其中有些</w:t>
            </w:r>
            <w:r>
              <w:rPr>
                <w:rFonts w:ascii="Times New Roman" w:eastAsia="標楷體" w:hAnsi="Times New Roman" w:hint="eastAsia"/>
              </w:rPr>
              <w:t>RTK</w:t>
            </w:r>
            <w:r>
              <w:rPr>
                <w:rFonts w:ascii="Times New Roman" w:eastAsia="標楷體" w:hAnsi="Times New Roman" w:hint="eastAsia"/>
              </w:rPr>
              <w:t>與腫瘤生長、病理性血管新生、癌細胞轉移有關</w:t>
            </w:r>
            <w:r w:rsidRPr="00386048">
              <w:rPr>
                <w:rFonts w:ascii="Times New Roman" w:eastAsia="標楷體" w:hAnsi="Times New Roman"/>
              </w:rPr>
              <w:t>。</w:t>
            </w:r>
            <w:r>
              <w:rPr>
                <w:rFonts w:ascii="Times New Roman" w:eastAsia="標楷體" w:hAnsi="Times New Roman" w:hint="eastAsia"/>
              </w:rPr>
              <w:t>評估</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對於多種激酶的抑制活性後發現，它是血小板衍生生長因子接受體</w:t>
            </w:r>
            <w:r w:rsidRPr="00BB6997">
              <w:rPr>
                <w:rFonts w:ascii="Times New Roman" w:eastAsia="標楷體" w:hAnsi="Times New Roman" w:hint="eastAsia"/>
              </w:rPr>
              <w:t>(</w:t>
            </w:r>
            <w:r w:rsidRPr="00BB6997">
              <w:rPr>
                <w:rFonts w:ascii="Times New Roman" w:eastAsia="標楷體" w:hAnsi="Times New Roman"/>
              </w:rPr>
              <w:t>PDGFRα</w:t>
            </w:r>
            <w:r w:rsidRPr="00BB6997">
              <w:rPr>
                <w:rFonts w:ascii="Times New Roman" w:eastAsia="標楷體" w:hAnsi="Times New Roman" w:hint="eastAsia"/>
              </w:rPr>
              <w:t>和</w:t>
            </w:r>
            <w:r w:rsidRPr="00BB6997">
              <w:rPr>
                <w:rFonts w:ascii="Times New Roman" w:eastAsia="標楷體" w:hAnsi="Times New Roman"/>
              </w:rPr>
              <w:t>PDGFRβ</w:t>
            </w:r>
            <w:r w:rsidRPr="00BB6997">
              <w:rPr>
                <w:rFonts w:ascii="Times New Roman" w:eastAsia="標楷體" w:hAnsi="Times New Roman" w:hint="eastAsia"/>
              </w:rPr>
              <w:t>)</w:t>
            </w:r>
            <w:r w:rsidRPr="00BB6997">
              <w:rPr>
                <w:rFonts w:ascii="Times New Roman" w:eastAsia="標楷體" w:hAnsi="Times New Roman" w:hint="eastAsia"/>
              </w:rPr>
              <w:t>、血管內</w:t>
            </w:r>
            <w:r>
              <w:rPr>
                <w:rFonts w:ascii="Times New Roman" w:eastAsia="標楷體" w:hAnsi="Times New Roman" w:hint="eastAsia"/>
              </w:rPr>
              <w:t>皮生長因子接受體</w:t>
            </w:r>
            <w:r>
              <w:rPr>
                <w:rFonts w:ascii="Times New Roman" w:eastAsia="標楷體" w:hAnsi="Times New Roman" w:hint="eastAsia"/>
              </w:rPr>
              <w:t>(</w:t>
            </w:r>
            <w:r w:rsidRPr="001A6264">
              <w:rPr>
                <w:rFonts w:ascii="Times New Roman" w:eastAsia="標楷體" w:hAnsi="Times New Roman"/>
              </w:rPr>
              <w:t>VEGFR1</w:t>
            </w:r>
            <w:r w:rsidRPr="001A6264">
              <w:rPr>
                <w:rFonts w:ascii="Times New Roman" w:eastAsia="標楷體" w:hAnsi="Times New Roman"/>
              </w:rPr>
              <w:t>、</w:t>
            </w:r>
            <w:r>
              <w:rPr>
                <w:rFonts w:ascii="Times New Roman" w:eastAsia="標楷體" w:hAnsi="Times New Roman"/>
              </w:rPr>
              <w:t>VEGFR2</w:t>
            </w:r>
            <w:r w:rsidRPr="001A6264">
              <w:rPr>
                <w:rFonts w:ascii="Times New Roman" w:eastAsia="標楷體" w:hAnsi="Times New Roman"/>
              </w:rPr>
              <w:t>、</w:t>
            </w:r>
            <w:r w:rsidRPr="001A6264">
              <w:rPr>
                <w:rFonts w:ascii="Times New Roman" w:eastAsia="標楷體" w:hAnsi="Times New Roman"/>
              </w:rPr>
              <w:t>VEGFR3</w:t>
            </w:r>
            <w:r>
              <w:rPr>
                <w:rFonts w:ascii="Times New Roman" w:eastAsia="標楷體" w:hAnsi="Times New Roman" w:hint="eastAsia"/>
              </w:rPr>
              <w:t>)</w:t>
            </w:r>
            <w:r>
              <w:rPr>
                <w:rFonts w:ascii="Times New Roman" w:eastAsia="標楷體" w:hAnsi="Times New Roman" w:hint="eastAsia"/>
              </w:rPr>
              <w:t>、幹細胞因子接受體</w:t>
            </w:r>
            <w:r>
              <w:rPr>
                <w:rFonts w:ascii="Times New Roman" w:eastAsia="標楷體" w:hAnsi="Times New Roman" w:hint="eastAsia"/>
              </w:rPr>
              <w:t>(KIT)</w:t>
            </w:r>
            <w:r>
              <w:rPr>
                <w:rFonts w:ascii="Times New Roman" w:eastAsia="標楷體" w:hAnsi="Times New Roman" w:hint="eastAsia"/>
              </w:rPr>
              <w:t>、類</w:t>
            </w:r>
            <w:r>
              <w:rPr>
                <w:rFonts w:ascii="Times New Roman" w:eastAsia="標楷體" w:hAnsi="Times New Roman" w:hint="eastAsia"/>
              </w:rPr>
              <w:t>F</w:t>
            </w:r>
            <w:r>
              <w:rPr>
                <w:rFonts w:ascii="Times New Roman" w:eastAsia="標楷體" w:hAnsi="Times New Roman"/>
              </w:rPr>
              <w:t>ms</w:t>
            </w:r>
            <w:r>
              <w:rPr>
                <w:rFonts w:ascii="Times New Roman" w:eastAsia="標楷體" w:hAnsi="Times New Roman" w:hint="eastAsia"/>
              </w:rPr>
              <w:t>酪胺酸激酶</w:t>
            </w:r>
            <w:r>
              <w:rPr>
                <w:rFonts w:ascii="Times New Roman" w:eastAsia="標楷體" w:hAnsi="Times New Roman" w:hint="eastAsia"/>
              </w:rPr>
              <w:t>-3(</w:t>
            </w:r>
            <w:r>
              <w:rPr>
                <w:rFonts w:ascii="Times New Roman" w:eastAsia="標楷體" w:hAnsi="Times New Roman"/>
              </w:rPr>
              <w:t>Fms-like tyrosine kinase-3, FLT3</w:t>
            </w:r>
            <w:r>
              <w:rPr>
                <w:rFonts w:ascii="Times New Roman" w:eastAsia="標楷體" w:hAnsi="Times New Roman" w:hint="eastAsia"/>
              </w:rPr>
              <w:t>)</w:t>
            </w:r>
            <w:r>
              <w:rPr>
                <w:rFonts w:ascii="Times New Roman" w:eastAsia="標楷體" w:hAnsi="Times New Roman" w:hint="eastAsia"/>
              </w:rPr>
              <w:t>、群落刺激因子接受體第一型</w:t>
            </w:r>
            <w:r>
              <w:rPr>
                <w:rFonts w:ascii="Times New Roman" w:eastAsia="標楷體" w:hAnsi="Times New Roman" w:hint="eastAsia"/>
              </w:rPr>
              <w:t>(</w:t>
            </w:r>
            <w:r>
              <w:rPr>
                <w:rFonts w:ascii="Times New Roman" w:eastAsia="標楷體" w:hAnsi="Times New Roman"/>
              </w:rPr>
              <w:t>CSF-1R</w:t>
            </w:r>
            <w:r>
              <w:rPr>
                <w:rFonts w:ascii="Times New Roman" w:eastAsia="標楷體" w:hAnsi="Times New Roman" w:hint="eastAsia"/>
              </w:rPr>
              <w:t>)</w:t>
            </w:r>
            <w:r>
              <w:rPr>
                <w:rFonts w:ascii="Times New Roman" w:eastAsia="標楷體" w:hAnsi="Times New Roman" w:hint="eastAsia"/>
              </w:rPr>
              <w:t>、以及株化膠細胞衍生神經滋養因子接受體</w:t>
            </w:r>
            <w:r>
              <w:rPr>
                <w:rFonts w:ascii="Times New Roman" w:eastAsia="標楷體" w:hAnsi="Times New Roman" w:hint="eastAsia"/>
              </w:rPr>
              <w:t>(</w:t>
            </w:r>
            <w:r>
              <w:rPr>
                <w:rFonts w:ascii="Times New Roman" w:eastAsia="標楷體" w:hAnsi="Times New Roman"/>
              </w:rPr>
              <w:t>glial cell-line derived neurotrophic factor receptor, RET</w:t>
            </w:r>
            <w:r>
              <w:rPr>
                <w:rFonts w:ascii="Times New Roman" w:eastAsia="標楷體" w:hAnsi="Times New Roman" w:hint="eastAsia"/>
              </w:rPr>
              <w:t>)</w:t>
            </w:r>
            <w:r>
              <w:rPr>
                <w:rFonts w:ascii="Times New Roman" w:eastAsia="標楷體" w:hAnsi="Times New Roman" w:hint="eastAsia"/>
              </w:rPr>
              <w:t>的抑制劑。以生化和細胞分析證實</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會抑制這些</w:t>
            </w:r>
            <w:r>
              <w:rPr>
                <w:rFonts w:ascii="Times New Roman" w:eastAsia="標楷體" w:hAnsi="Times New Roman" w:hint="eastAsia"/>
              </w:rPr>
              <w:t>RTK</w:t>
            </w:r>
            <w:r>
              <w:rPr>
                <w:rFonts w:ascii="Times New Roman" w:eastAsia="標楷體" w:hAnsi="Times New Roman" w:hint="eastAsia"/>
              </w:rPr>
              <w:t>活性；也以細胞增生分析證實</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會抑制其功能。其主要代謝產物在生化及細胞分析中的效價與</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類似。</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在表現</w:t>
            </w:r>
            <w:r>
              <w:rPr>
                <w:rFonts w:ascii="Times New Roman" w:eastAsia="標楷體" w:hAnsi="Times New Roman" w:hint="eastAsia"/>
              </w:rPr>
              <w:t>RTK</w:t>
            </w:r>
            <w:r>
              <w:rPr>
                <w:rFonts w:ascii="Times New Roman" w:eastAsia="標楷體" w:hAnsi="Times New Roman" w:hint="eastAsia"/>
              </w:rPr>
              <w:t>標靶隻腫瘤異種移植的活體實驗中顯示它能抑制多種</w:t>
            </w:r>
            <w:r>
              <w:rPr>
                <w:rFonts w:ascii="Times New Roman" w:eastAsia="標楷體" w:hAnsi="Times New Roman" w:hint="eastAsia"/>
              </w:rPr>
              <w:t>RTK (</w:t>
            </w:r>
            <w:r w:rsidRPr="00BB6997">
              <w:rPr>
                <w:rFonts w:ascii="Times New Roman" w:eastAsia="標楷體" w:hAnsi="Times New Roman"/>
              </w:rPr>
              <w:t>PDGFRβ</w:t>
            </w:r>
            <w:r>
              <w:rPr>
                <w:rFonts w:ascii="Times New Roman" w:eastAsia="標楷體" w:hAnsi="Times New Roman" w:hint="eastAsia"/>
              </w:rPr>
              <w:t>、</w:t>
            </w:r>
            <w:r>
              <w:rPr>
                <w:rFonts w:ascii="Times New Roman" w:eastAsia="標楷體" w:hAnsi="Times New Roman"/>
              </w:rPr>
              <w:t>VEGFR2</w:t>
            </w:r>
            <w:r>
              <w:rPr>
                <w:rFonts w:ascii="Times New Roman" w:eastAsia="標楷體" w:hAnsi="Times New Roman" w:hint="eastAsia"/>
              </w:rPr>
              <w:t>、</w:t>
            </w:r>
            <w:r>
              <w:rPr>
                <w:rFonts w:ascii="Times New Roman" w:eastAsia="標楷體" w:hAnsi="Times New Roman" w:hint="eastAsia"/>
              </w:rPr>
              <w:t>KIT)</w:t>
            </w:r>
            <w:r>
              <w:rPr>
                <w:rFonts w:ascii="Times New Roman" w:eastAsia="標楷體" w:hAnsi="Times New Roman" w:hint="eastAsia"/>
              </w:rPr>
              <w:t>的磷酸化，也在一些癌症的實驗模型顯示它能直接抑制腫瘤的生長，使腫瘤萎縮且</w:t>
            </w:r>
            <w:r>
              <w:rPr>
                <w:rFonts w:ascii="Times New Roman" w:eastAsia="標楷體" w:hAnsi="Times New Roman" w:hint="eastAsia"/>
              </w:rPr>
              <w:t>/</w:t>
            </w:r>
            <w:r>
              <w:rPr>
                <w:rFonts w:ascii="Times New Roman" w:eastAsia="標楷體" w:hAnsi="Times New Roman" w:hint="eastAsia"/>
              </w:rPr>
              <w:t>或抑制轉移的進展。體外實驗顯示</w:t>
            </w:r>
            <w:r>
              <w:rPr>
                <w:rFonts w:ascii="Times New Roman" w:eastAsia="標楷體" w:hAnsi="Times New Roman" w:hint="eastAsia"/>
              </w:rPr>
              <w:t>s</w:t>
            </w:r>
            <w:r>
              <w:rPr>
                <w:rFonts w:ascii="Times New Roman" w:eastAsia="標楷體" w:hAnsi="Times New Roman"/>
              </w:rPr>
              <w:t>unitinib</w:t>
            </w:r>
            <w:r>
              <w:rPr>
                <w:rFonts w:ascii="Times New Roman" w:eastAsia="標楷體" w:hAnsi="Times New Roman" w:hint="eastAsia"/>
              </w:rPr>
              <w:t>能抑制表現調節不良之標靶</w:t>
            </w:r>
            <w:r>
              <w:rPr>
                <w:rFonts w:ascii="Times New Roman" w:eastAsia="標楷體" w:hAnsi="Times New Roman" w:hint="eastAsia"/>
              </w:rPr>
              <w:t>RTK(</w:t>
            </w:r>
            <w:r w:rsidRPr="00BB6997">
              <w:rPr>
                <w:rFonts w:ascii="Times New Roman" w:eastAsia="標楷體" w:hAnsi="Times New Roman"/>
              </w:rPr>
              <w:t>PDGFR</w:t>
            </w:r>
            <w:r>
              <w:rPr>
                <w:rFonts w:ascii="Times New Roman" w:eastAsia="標楷體" w:hAnsi="Times New Roman" w:hint="eastAsia"/>
              </w:rPr>
              <w:t>、</w:t>
            </w:r>
            <w:r>
              <w:rPr>
                <w:rFonts w:ascii="Times New Roman" w:eastAsia="標楷體" w:hAnsi="Times New Roman" w:hint="eastAsia"/>
              </w:rPr>
              <w:t>RET</w:t>
            </w:r>
            <w:r>
              <w:rPr>
                <w:rFonts w:ascii="Times New Roman" w:eastAsia="標楷體" w:hAnsi="Times New Roman" w:hint="eastAsia"/>
              </w:rPr>
              <w:t>、</w:t>
            </w:r>
            <w:r>
              <w:rPr>
                <w:rFonts w:ascii="Times New Roman" w:eastAsia="標楷體" w:hAnsi="Times New Roman" w:hint="eastAsia"/>
              </w:rPr>
              <w:t>KIT)</w:t>
            </w:r>
            <w:r>
              <w:rPr>
                <w:rFonts w:ascii="Times New Roman" w:eastAsia="標楷體" w:hAnsi="Times New Roman" w:hint="eastAsia"/>
              </w:rPr>
              <w:t>的腫瘤細胞生長，活體試驗也顯示它能抑制對</w:t>
            </w:r>
            <w:r w:rsidRPr="00BB6997">
              <w:rPr>
                <w:rFonts w:ascii="Times New Roman" w:eastAsia="標楷體" w:hAnsi="Times New Roman"/>
              </w:rPr>
              <w:t>PDGFRβ</w:t>
            </w:r>
            <w:r>
              <w:rPr>
                <w:rFonts w:ascii="Times New Roman" w:eastAsia="標楷體" w:hAnsi="Times New Roman" w:hint="eastAsia"/>
              </w:rPr>
              <w:t>和</w:t>
            </w:r>
            <w:r>
              <w:rPr>
                <w:rFonts w:ascii="Times New Roman" w:eastAsia="標楷體" w:hAnsi="Times New Roman"/>
              </w:rPr>
              <w:t>VEGFR2</w:t>
            </w:r>
            <w:r>
              <w:rPr>
                <w:rFonts w:ascii="Times New Roman" w:eastAsia="標楷體" w:hAnsi="Times New Roman" w:hint="eastAsia"/>
              </w:rPr>
              <w:t>有依賴性的腫瘤血管生成。</w:t>
            </w:r>
          </w:p>
        </w:tc>
      </w:tr>
      <w:tr w:rsidR="00C7054A" w:rsidRPr="001A6264" w:rsidTr="00C7054A">
        <w:tc>
          <w:tcPr>
            <w:tcW w:w="970" w:type="dxa"/>
            <w:tcBorders>
              <w:bottom w:val="single" w:sz="4" w:space="0" w:color="auto"/>
            </w:tcBorders>
            <w:vAlign w:val="center"/>
          </w:tcPr>
          <w:p w:rsidR="00C7054A" w:rsidRPr="00386048" w:rsidRDefault="00C7054A"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C7054A" w:rsidRDefault="00C7054A" w:rsidP="003555E5">
            <w:pPr>
              <w:pStyle w:val="a9"/>
              <w:widowControl/>
              <w:numPr>
                <w:ilvl w:val="0"/>
                <w:numId w:val="14"/>
              </w:numPr>
              <w:ind w:leftChars="0"/>
              <w:rPr>
                <w:rFonts w:ascii="Times New Roman" w:eastAsia="標楷體" w:hAnsi="Times New Roman"/>
              </w:rPr>
            </w:pPr>
            <w:r w:rsidRPr="001A6264">
              <w:rPr>
                <w:rFonts w:ascii="Times New Roman" w:eastAsia="標楷體" w:hAnsi="Times New Roman"/>
              </w:rPr>
              <w:t>腸胃道間質腫瘤</w:t>
            </w:r>
            <w:r w:rsidRPr="001A6264">
              <w:rPr>
                <w:rFonts w:ascii="Times New Roman" w:eastAsia="標楷體" w:hAnsi="Times New Roman"/>
              </w:rPr>
              <w:t>(GIST)</w:t>
            </w:r>
            <w:r>
              <w:rPr>
                <w:rFonts w:ascii="Times New Roman" w:eastAsia="標楷體" w:hAnsi="Times New Roman" w:hint="eastAsia"/>
              </w:rPr>
              <w:t>：</w:t>
            </w:r>
            <w:r w:rsidRPr="001A6264">
              <w:rPr>
                <w:rFonts w:ascii="Times New Roman" w:eastAsia="標楷體" w:hAnsi="Times New Roman"/>
              </w:rPr>
              <w:t>Sunitinib</w:t>
            </w:r>
            <w:r w:rsidRPr="001A6264">
              <w:rPr>
                <w:rFonts w:ascii="Times New Roman" w:eastAsia="標楷體" w:hAnsi="Times New Roman"/>
              </w:rPr>
              <w:t>適用於</w:t>
            </w:r>
            <w:r w:rsidRPr="001A6264">
              <w:rPr>
                <w:rFonts w:ascii="Times New Roman" w:eastAsia="標楷體" w:hAnsi="Times New Roman"/>
              </w:rPr>
              <w:t>imatinib mesylate</w:t>
            </w:r>
            <w:r w:rsidRPr="001A6264">
              <w:rPr>
                <w:rFonts w:ascii="Times New Roman" w:eastAsia="標楷體" w:hAnsi="Times New Roman"/>
              </w:rPr>
              <w:t>治療期間出現疾病惡化或對該藥出現不能忍受之腸胃道間質腫瘤</w:t>
            </w:r>
            <w:r w:rsidRPr="001A6264">
              <w:rPr>
                <w:rFonts w:ascii="Times New Roman" w:eastAsia="標楷體" w:hAnsi="Times New Roman"/>
              </w:rPr>
              <w:t>(GIST)</w:t>
            </w:r>
            <w:r w:rsidRPr="009D69A8">
              <w:rPr>
                <w:rFonts w:ascii="Times New Roman" w:eastAsia="標楷體" w:hAnsi="Times New Roman" w:hint="eastAsia"/>
              </w:rPr>
              <w:t>。</w:t>
            </w:r>
          </w:p>
          <w:p w:rsidR="00C7054A" w:rsidRDefault="00C7054A" w:rsidP="003555E5">
            <w:pPr>
              <w:pStyle w:val="a9"/>
              <w:widowControl/>
              <w:numPr>
                <w:ilvl w:val="0"/>
                <w:numId w:val="14"/>
              </w:numPr>
              <w:ind w:leftChars="0"/>
              <w:rPr>
                <w:rFonts w:ascii="Times New Roman" w:eastAsia="標楷體" w:hAnsi="Times New Roman"/>
              </w:rPr>
            </w:pPr>
            <w:r w:rsidRPr="001A6264">
              <w:rPr>
                <w:rFonts w:ascii="Times New Roman" w:eastAsia="標楷體" w:hAnsi="Times New Roman"/>
              </w:rPr>
              <w:t>晚期腎細胞癌</w:t>
            </w:r>
            <w:r w:rsidRPr="001A6264">
              <w:rPr>
                <w:rFonts w:ascii="Times New Roman" w:eastAsia="標楷體" w:hAnsi="Times New Roman"/>
              </w:rPr>
              <w:t>(RCC)</w:t>
            </w:r>
            <w:r>
              <w:rPr>
                <w:rFonts w:ascii="Times New Roman" w:eastAsia="標楷體" w:hAnsi="Times New Roman" w:hint="eastAsia"/>
              </w:rPr>
              <w:t>：</w:t>
            </w:r>
            <w:r w:rsidRPr="001A6264">
              <w:rPr>
                <w:rFonts w:ascii="Times New Roman" w:eastAsia="標楷體" w:hAnsi="Times New Roman"/>
              </w:rPr>
              <w:t>Sunitinib</w:t>
            </w:r>
            <w:r w:rsidRPr="001A6264">
              <w:rPr>
                <w:rFonts w:ascii="Times New Roman" w:eastAsia="標楷體" w:hAnsi="Times New Roman"/>
              </w:rPr>
              <w:t>適用於治療晚期或轉移性腎細胞癌</w:t>
            </w:r>
            <w:r w:rsidRPr="001A6264">
              <w:rPr>
                <w:rFonts w:ascii="Times New Roman" w:eastAsia="標楷體" w:hAnsi="Times New Roman"/>
              </w:rPr>
              <w:t>[</w:t>
            </w:r>
            <w:r w:rsidRPr="001A6264">
              <w:rPr>
                <w:rFonts w:ascii="Times New Roman" w:eastAsia="標楷體" w:hAnsi="Times New Roman"/>
              </w:rPr>
              <w:t>病理上為亮細胞癌</w:t>
            </w:r>
            <w:r w:rsidRPr="001A6264">
              <w:rPr>
                <w:rFonts w:ascii="Times New Roman" w:eastAsia="標楷體" w:hAnsi="Times New Roman"/>
              </w:rPr>
              <w:t>(clear cell carcinoma)]</w:t>
            </w:r>
            <w:r w:rsidR="00C71277" w:rsidRPr="001A6264">
              <w:rPr>
                <w:rFonts w:ascii="Times New Roman" w:eastAsia="標楷體" w:hAnsi="Times New Roman"/>
              </w:rPr>
              <w:t>。</w:t>
            </w:r>
          </w:p>
          <w:p w:rsidR="00C7054A" w:rsidRPr="001A6264" w:rsidRDefault="00C7054A" w:rsidP="003555E5">
            <w:pPr>
              <w:pStyle w:val="a9"/>
              <w:widowControl/>
              <w:numPr>
                <w:ilvl w:val="0"/>
                <w:numId w:val="14"/>
              </w:numPr>
              <w:ind w:leftChars="0"/>
              <w:rPr>
                <w:rFonts w:ascii="Times New Roman" w:eastAsia="標楷體" w:hAnsi="Times New Roman"/>
              </w:rPr>
            </w:pPr>
            <w:r w:rsidRPr="001A6264">
              <w:rPr>
                <w:rFonts w:ascii="Times New Roman" w:eastAsia="標楷體" w:hAnsi="Times New Roman"/>
              </w:rPr>
              <w:t>胰臟神經內分泌腫瘤</w:t>
            </w:r>
            <w:r w:rsidRPr="001A6264">
              <w:rPr>
                <w:rFonts w:ascii="Times New Roman" w:eastAsia="標楷體" w:hAnsi="Times New Roman"/>
              </w:rPr>
              <w:t>(pNET)</w:t>
            </w:r>
            <w:r>
              <w:rPr>
                <w:rFonts w:ascii="Times New Roman" w:eastAsia="標楷體" w:hAnsi="Times New Roman" w:hint="eastAsia"/>
              </w:rPr>
              <w:t>：</w:t>
            </w:r>
            <w:r w:rsidRPr="001A6264">
              <w:rPr>
                <w:rFonts w:ascii="Times New Roman" w:eastAsia="標楷體" w:hAnsi="Times New Roman"/>
              </w:rPr>
              <w:t>Sunitinib</w:t>
            </w:r>
            <w:r w:rsidRPr="001A6264">
              <w:rPr>
                <w:rFonts w:ascii="Times New Roman" w:eastAsia="標楷體" w:hAnsi="Times New Roman"/>
              </w:rPr>
              <w:t>適用於進展性，無法切除或轉移性分化良好之胰臟神經內分泌腫瘤的成人病人。</w:t>
            </w:r>
          </w:p>
          <w:p w:rsidR="00C7054A" w:rsidRPr="001A6264" w:rsidRDefault="00C7054A" w:rsidP="003555E5">
            <w:pPr>
              <w:pStyle w:val="a9"/>
              <w:widowControl/>
              <w:numPr>
                <w:ilvl w:val="0"/>
                <w:numId w:val="14"/>
              </w:numPr>
              <w:ind w:leftChars="0"/>
              <w:rPr>
                <w:rFonts w:ascii="Times New Roman" w:eastAsia="標楷體" w:hAnsi="Times New Roman"/>
              </w:rPr>
            </w:pPr>
            <w:r w:rsidRPr="001A6264">
              <w:rPr>
                <w:rFonts w:ascii="Times New Roman" w:eastAsia="標楷體" w:hAnsi="Times New Roman"/>
              </w:rPr>
              <w:lastRenderedPageBreak/>
              <w:t>腎細胞癌輔助治療</w:t>
            </w:r>
            <w:r>
              <w:rPr>
                <w:rFonts w:ascii="Times New Roman" w:eastAsia="標楷體" w:hAnsi="Times New Roman" w:hint="eastAsia"/>
              </w:rPr>
              <w:t>：</w:t>
            </w:r>
            <w:r w:rsidRPr="001A6264">
              <w:rPr>
                <w:rFonts w:ascii="Times New Roman" w:eastAsia="標楷體" w:hAnsi="Times New Roman"/>
              </w:rPr>
              <w:t>Sunitinib</w:t>
            </w:r>
            <w:r w:rsidRPr="001A6264">
              <w:rPr>
                <w:rFonts w:ascii="Times New Roman" w:eastAsia="標楷體" w:hAnsi="Times New Roman"/>
              </w:rPr>
              <w:t>適用於高復發風險腎細胞癌的成人病人腎切除後的輔助治療。</w:t>
            </w:r>
          </w:p>
        </w:tc>
      </w:tr>
      <w:tr w:rsidR="00C7054A" w:rsidRPr="0001660E" w:rsidTr="00C7054A">
        <w:tc>
          <w:tcPr>
            <w:tcW w:w="15452" w:type="dxa"/>
            <w:gridSpan w:val="2"/>
            <w:tcBorders>
              <w:top w:val="nil"/>
              <w:left w:val="nil"/>
              <w:right w:val="nil"/>
            </w:tcBorders>
          </w:tcPr>
          <w:p w:rsidR="00C7054A" w:rsidRPr="0001660E" w:rsidRDefault="00C7054A" w:rsidP="003555E5">
            <w:pPr>
              <w:pStyle w:val="a9"/>
              <w:widowControl/>
              <w:numPr>
                <w:ilvl w:val="0"/>
                <w:numId w:val="6"/>
              </w:numPr>
              <w:ind w:leftChars="0"/>
              <w:rPr>
                <w:rFonts w:ascii="Times New Roman" w:eastAsia="標楷體"/>
                <w:b/>
                <w:bCs/>
                <w:color w:val="000000" w:themeColor="text1"/>
                <w:kern w:val="36"/>
                <w:lang w:bidi="hi-IN"/>
              </w:rPr>
            </w:pPr>
            <w:r w:rsidRPr="0001660E">
              <w:rPr>
                <w:rFonts w:ascii="Times New Roman" w:eastAsia="標楷體"/>
                <w:b/>
                <w:bCs/>
                <w:color w:val="000000" w:themeColor="text1"/>
                <w:kern w:val="36"/>
                <w:lang w:bidi="hi-IN"/>
              </w:rPr>
              <w:lastRenderedPageBreak/>
              <w:t>Pazopanib</w:t>
            </w:r>
          </w:p>
        </w:tc>
      </w:tr>
      <w:tr w:rsidR="00C7054A" w:rsidRPr="00E87732" w:rsidTr="00C7054A">
        <w:tc>
          <w:tcPr>
            <w:tcW w:w="970" w:type="dxa"/>
            <w:tcBorders>
              <w:bottom w:val="single" w:sz="4" w:space="0" w:color="auto"/>
            </w:tcBorders>
            <w:vAlign w:val="center"/>
          </w:tcPr>
          <w:p w:rsidR="00C7054A" w:rsidRPr="00386048" w:rsidRDefault="00C7054A"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Borders>
              <w:bottom w:val="single" w:sz="4" w:space="0" w:color="auto"/>
            </w:tcBorders>
          </w:tcPr>
          <w:p w:rsidR="00C7054A" w:rsidRPr="00E87732" w:rsidRDefault="00C7054A" w:rsidP="00E1272F">
            <w:pPr>
              <w:widowControl/>
              <w:rPr>
                <w:rFonts w:ascii="Times New Roman" w:eastAsia="標楷體" w:hAnsi="Times New Roman"/>
              </w:rPr>
            </w:pPr>
            <w:r>
              <w:rPr>
                <w:rFonts w:ascii="Times New Roman" w:eastAsia="標楷體" w:hAnsi="Times New Roman"/>
              </w:rPr>
              <w:t>Pazopanib</w:t>
            </w:r>
            <w:r w:rsidRPr="00E87732">
              <w:rPr>
                <w:rFonts w:ascii="Times New Roman" w:eastAsia="標楷體" w:hAnsi="Times New Roman"/>
              </w:rPr>
              <w:t>是一種多重酪胺酸酶抑制劑，作用目標包含血管內皮生長因子受體</w:t>
            </w:r>
            <w:r w:rsidRPr="00E87732">
              <w:rPr>
                <w:rFonts w:ascii="Times New Roman" w:eastAsia="標楷體" w:hAnsi="Times New Roman"/>
              </w:rPr>
              <w:t>(vascular endothelial growth factor receptor) VEGFR-1</w:t>
            </w:r>
            <w:r w:rsidRPr="00E87732">
              <w:rPr>
                <w:rFonts w:ascii="Times New Roman" w:eastAsia="標楷體" w:hAnsi="Times New Roman"/>
              </w:rPr>
              <w:t>、</w:t>
            </w:r>
            <w:r w:rsidRPr="00E87732">
              <w:rPr>
                <w:rFonts w:ascii="Times New Roman" w:eastAsia="標楷體" w:hAnsi="Times New Roman"/>
              </w:rPr>
              <w:t>VEGFR -2</w:t>
            </w:r>
            <w:r w:rsidRPr="00E87732">
              <w:rPr>
                <w:rFonts w:ascii="Times New Roman" w:eastAsia="標楷體" w:hAnsi="Times New Roman"/>
              </w:rPr>
              <w:t>、</w:t>
            </w:r>
            <w:r w:rsidRPr="00E87732">
              <w:rPr>
                <w:rFonts w:ascii="Times New Roman" w:eastAsia="標楷體" w:hAnsi="Times New Roman"/>
              </w:rPr>
              <w:t>VEGFR -3</w:t>
            </w:r>
            <w:r w:rsidRPr="00E87732">
              <w:rPr>
                <w:rFonts w:ascii="Times New Roman" w:eastAsia="標楷體" w:hAnsi="Times New Roman"/>
              </w:rPr>
              <w:t>，血小板衍生生長因子受體</w:t>
            </w:r>
            <w:r w:rsidRPr="00E87732">
              <w:rPr>
                <w:rFonts w:ascii="Times New Roman" w:eastAsia="標楷體" w:hAnsi="Times New Roman"/>
              </w:rPr>
              <w:t xml:space="preserve"> (platelet-derived </w:t>
            </w:r>
            <w:r>
              <w:rPr>
                <w:rFonts w:ascii="Times New Roman" w:eastAsia="標楷體" w:hAnsi="Times New Roman"/>
              </w:rPr>
              <w:t>growth factor receptor) PDGFR-α</w:t>
            </w:r>
            <w:r w:rsidRPr="00E87732">
              <w:rPr>
                <w:rFonts w:ascii="Times New Roman" w:eastAsia="標楷體" w:hAnsi="Times New Roman"/>
              </w:rPr>
              <w:t>與</w:t>
            </w:r>
            <w:r w:rsidRPr="00E87732">
              <w:rPr>
                <w:rFonts w:ascii="Times New Roman" w:eastAsia="標楷體" w:hAnsi="Times New Roman"/>
              </w:rPr>
              <w:t>-β</w:t>
            </w:r>
            <w:r w:rsidRPr="00E87732">
              <w:rPr>
                <w:rFonts w:ascii="Times New Roman" w:eastAsia="標楷體" w:hAnsi="Times New Roman"/>
              </w:rPr>
              <w:t>，纖維母細胞生長因子受體</w:t>
            </w:r>
            <w:r w:rsidRPr="00E87732">
              <w:rPr>
                <w:rFonts w:ascii="Times New Roman" w:eastAsia="標楷體" w:hAnsi="Times New Roman"/>
              </w:rPr>
              <w:t>(fibroblast</w:t>
            </w:r>
            <w:r>
              <w:rPr>
                <w:rFonts w:ascii="Times New Roman" w:eastAsia="標楷體" w:hAnsi="Times New Roman"/>
              </w:rPr>
              <w:t xml:space="preserve"> growth factor receptor) FGFR-1</w:t>
            </w:r>
            <w:r w:rsidRPr="00E87732">
              <w:rPr>
                <w:rFonts w:ascii="Times New Roman" w:eastAsia="標楷體" w:hAnsi="Times New Roman"/>
              </w:rPr>
              <w:t>與</w:t>
            </w:r>
            <w:r w:rsidRPr="00E87732">
              <w:rPr>
                <w:rFonts w:ascii="Times New Roman" w:eastAsia="標楷體" w:hAnsi="Times New Roman"/>
              </w:rPr>
              <w:t>-3</w:t>
            </w:r>
            <w:r w:rsidRPr="00E87732">
              <w:rPr>
                <w:rFonts w:ascii="Times New Roman" w:eastAsia="標楷體" w:hAnsi="Times New Roman"/>
              </w:rPr>
              <w:t>，細胞激素受體</w:t>
            </w:r>
            <w:r w:rsidRPr="00E87732">
              <w:rPr>
                <w:rFonts w:ascii="Times New Roman" w:eastAsia="標楷體" w:hAnsi="Times New Roman"/>
              </w:rPr>
              <w:t>(cytokine</w:t>
            </w:r>
            <w:r>
              <w:rPr>
                <w:rFonts w:ascii="Times New Roman" w:eastAsia="標楷體" w:hAnsi="Times New Roman"/>
              </w:rPr>
              <w:t xml:space="preserve"> receptor) </w:t>
            </w:r>
            <w:r>
              <w:rPr>
                <w:rFonts w:ascii="Times New Roman" w:eastAsia="標楷體" w:hAnsi="Times New Roman" w:hint="eastAsia"/>
              </w:rPr>
              <w:t>KIT</w:t>
            </w:r>
            <w:r w:rsidRPr="00E87732">
              <w:rPr>
                <w:rFonts w:ascii="Times New Roman" w:eastAsia="標楷體" w:hAnsi="Times New Roman"/>
              </w:rPr>
              <w:t>，第二型介白素受體誘導</w:t>
            </w:r>
            <w:r>
              <w:rPr>
                <w:rFonts w:ascii="Times New Roman" w:eastAsia="標楷體" w:hAnsi="Times New Roman"/>
              </w:rPr>
              <w:t>T</w:t>
            </w:r>
            <w:r w:rsidRPr="00E87732">
              <w:rPr>
                <w:rFonts w:ascii="Times New Roman" w:eastAsia="標楷體" w:hAnsi="Times New Roman"/>
              </w:rPr>
              <w:t>細胞激酶</w:t>
            </w:r>
            <w:r w:rsidRPr="00E87732">
              <w:rPr>
                <w:rFonts w:ascii="Times New Roman" w:eastAsia="標楷體" w:hAnsi="Times New Roman"/>
              </w:rPr>
              <w:t>(interleukin-2 receptor inducible T-cell kinase</w:t>
            </w:r>
            <w:r>
              <w:rPr>
                <w:rFonts w:ascii="Times New Roman" w:eastAsia="標楷體" w:hAnsi="Times New Roman"/>
              </w:rPr>
              <w:t>, ITK)</w:t>
            </w:r>
            <w:r w:rsidRPr="00E87732">
              <w:rPr>
                <w:rFonts w:ascii="Times New Roman" w:eastAsia="標楷體" w:hAnsi="Times New Roman"/>
              </w:rPr>
              <w:t>，白血球特定蛋白質酪胺酸酶</w:t>
            </w:r>
            <w:r w:rsidRPr="00E87732">
              <w:rPr>
                <w:rFonts w:ascii="Times New Roman" w:eastAsia="標楷體" w:hAnsi="Times New Roman"/>
              </w:rPr>
              <w:t>(leukocyte-specific protein tyrosine kinase</w:t>
            </w:r>
            <w:r>
              <w:rPr>
                <w:rFonts w:ascii="Times New Roman" w:eastAsia="標楷體" w:hAnsi="Times New Roman"/>
              </w:rPr>
              <w:t>, LCK)</w:t>
            </w:r>
            <w:r w:rsidRPr="00E87732">
              <w:rPr>
                <w:rFonts w:ascii="Times New Roman" w:eastAsia="標楷體" w:hAnsi="Times New Roman"/>
              </w:rPr>
              <w:t>，以及穿膜醣蛋白受體酪胺酸酶</w:t>
            </w:r>
            <w:r w:rsidRPr="00E87732">
              <w:rPr>
                <w:rFonts w:ascii="Times New Roman" w:eastAsia="標楷體" w:hAnsi="Times New Roman"/>
              </w:rPr>
              <w:t>(transmembrane glycopro</w:t>
            </w:r>
            <w:r>
              <w:rPr>
                <w:rFonts w:ascii="Times New Roman" w:eastAsia="標楷體" w:hAnsi="Times New Roman"/>
              </w:rPr>
              <w:t xml:space="preserve">tein receptor tyrosine kinase, </w:t>
            </w:r>
            <w:r w:rsidRPr="00E87732">
              <w:rPr>
                <w:rFonts w:ascii="Times New Roman" w:eastAsia="標楷體" w:hAnsi="Times New Roman"/>
              </w:rPr>
              <w:t>c-Fms)</w:t>
            </w:r>
            <w:r w:rsidRPr="00E87732">
              <w:rPr>
                <w:rFonts w:ascii="Times New Roman" w:eastAsia="標楷體" w:hAnsi="Times New Roman"/>
              </w:rPr>
              <w:t>。體外試驗發現，</w:t>
            </w:r>
            <w:r w:rsidRPr="00E87732">
              <w:rPr>
                <w:rFonts w:ascii="Times New Roman" w:eastAsia="標楷體" w:hAnsi="Times New Roman"/>
              </w:rPr>
              <w:t xml:space="preserve">pazopanib </w:t>
            </w:r>
            <w:r w:rsidRPr="00E87732">
              <w:rPr>
                <w:rFonts w:ascii="Times New Roman" w:eastAsia="標楷體" w:hAnsi="Times New Roman"/>
              </w:rPr>
              <w:t>可抑制</w:t>
            </w:r>
            <w:r w:rsidRPr="00E87732">
              <w:rPr>
                <w:rFonts w:ascii="Times New Roman" w:eastAsia="標楷體" w:hAnsi="Times New Roman"/>
              </w:rPr>
              <w:t>VEGFR-2</w:t>
            </w:r>
            <w:r w:rsidRPr="00E87732">
              <w:rPr>
                <w:rFonts w:ascii="Times New Roman" w:eastAsia="標楷體" w:hAnsi="Times New Roman"/>
              </w:rPr>
              <w:t>、</w:t>
            </w:r>
            <w:r>
              <w:rPr>
                <w:rFonts w:ascii="Times New Roman" w:eastAsia="標楷體" w:hAnsi="Times New Roman"/>
              </w:rPr>
              <w:t>KIT</w:t>
            </w:r>
            <w:r w:rsidRPr="00E87732">
              <w:rPr>
                <w:rFonts w:ascii="Times New Roman" w:eastAsia="標楷體" w:hAnsi="Times New Roman"/>
              </w:rPr>
              <w:t>與</w:t>
            </w:r>
            <w:r>
              <w:rPr>
                <w:rFonts w:ascii="Times New Roman" w:eastAsia="標楷體" w:hAnsi="Times New Roman"/>
              </w:rPr>
              <w:t xml:space="preserve"> PDGFR-β</w:t>
            </w:r>
            <w:r w:rsidRPr="00E87732">
              <w:rPr>
                <w:rFonts w:ascii="Times New Roman" w:eastAsia="標楷體" w:hAnsi="Times New Roman"/>
              </w:rPr>
              <w:t>受體發生配體誘導的自體磷酸化。體內試驗則顯示，</w:t>
            </w:r>
            <w:r>
              <w:rPr>
                <w:rFonts w:ascii="Times New Roman" w:eastAsia="標楷體" w:hAnsi="Times New Roman"/>
              </w:rPr>
              <w:t>pazopanib</w:t>
            </w:r>
            <w:r w:rsidRPr="00E87732">
              <w:rPr>
                <w:rFonts w:ascii="Times New Roman" w:eastAsia="標楷體" w:hAnsi="Times New Roman"/>
              </w:rPr>
              <w:t>可抑制小鼠肺部內由</w:t>
            </w:r>
            <w:r>
              <w:rPr>
                <w:rFonts w:ascii="Times New Roman" w:eastAsia="標楷體" w:hAnsi="Times New Roman"/>
              </w:rPr>
              <w:t>VEGF</w:t>
            </w:r>
            <w:r w:rsidRPr="00E87732">
              <w:rPr>
                <w:rFonts w:ascii="Times New Roman" w:eastAsia="標楷體" w:hAnsi="Times New Roman"/>
              </w:rPr>
              <w:t>誘導的</w:t>
            </w:r>
            <w:r>
              <w:rPr>
                <w:rFonts w:ascii="Times New Roman" w:eastAsia="標楷體" w:hAnsi="Times New Roman"/>
              </w:rPr>
              <w:t>VEGFR-2</w:t>
            </w:r>
            <w:r w:rsidRPr="00E87732">
              <w:rPr>
                <w:rFonts w:ascii="Times New Roman" w:eastAsia="標楷體" w:hAnsi="Times New Roman"/>
              </w:rPr>
              <w:t>磷酸化、小鼠的血管新生，以及小鼠體內人類腫瘤異體移植的生長。</w:t>
            </w:r>
          </w:p>
        </w:tc>
      </w:tr>
      <w:tr w:rsidR="00C7054A" w:rsidRPr="00E87732" w:rsidTr="00C7054A">
        <w:tc>
          <w:tcPr>
            <w:tcW w:w="970" w:type="dxa"/>
            <w:tcBorders>
              <w:bottom w:val="single" w:sz="4" w:space="0" w:color="auto"/>
            </w:tcBorders>
            <w:vAlign w:val="center"/>
          </w:tcPr>
          <w:p w:rsidR="00C7054A" w:rsidRPr="00386048" w:rsidRDefault="00C7054A"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C7054A" w:rsidRDefault="00C7054A" w:rsidP="003555E5">
            <w:pPr>
              <w:pStyle w:val="a9"/>
              <w:widowControl/>
              <w:numPr>
                <w:ilvl w:val="0"/>
                <w:numId w:val="15"/>
              </w:numPr>
              <w:ind w:leftChars="0"/>
              <w:rPr>
                <w:rFonts w:ascii="Times New Roman" w:eastAsia="標楷體" w:hAnsi="Times New Roman"/>
              </w:rPr>
            </w:pPr>
            <w:r w:rsidRPr="00E87732">
              <w:rPr>
                <w:rFonts w:ascii="Times New Roman" w:eastAsia="標楷體" w:hAnsi="Times New Roman"/>
              </w:rPr>
              <w:t>晚期腎細胞癌之第一線治療，或用於已接受細胞激素</w:t>
            </w:r>
            <w:r>
              <w:rPr>
                <w:rFonts w:ascii="Times New Roman" w:eastAsia="標楷體" w:hAnsi="Times New Roman"/>
              </w:rPr>
              <w:t>(cytokine)</w:t>
            </w:r>
            <w:r w:rsidRPr="00E87732">
              <w:rPr>
                <w:rFonts w:ascii="Times New Roman" w:eastAsia="標楷體" w:hAnsi="Times New Roman"/>
              </w:rPr>
              <w:t>治療失敗之晚期腎細胞癌患者。</w:t>
            </w:r>
          </w:p>
          <w:p w:rsidR="00C7054A" w:rsidRPr="00E87732" w:rsidRDefault="00C7054A" w:rsidP="003555E5">
            <w:pPr>
              <w:pStyle w:val="a9"/>
              <w:widowControl/>
              <w:numPr>
                <w:ilvl w:val="0"/>
                <w:numId w:val="15"/>
              </w:numPr>
              <w:ind w:leftChars="0"/>
              <w:rPr>
                <w:rFonts w:ascii="Times New Roman" w:eastAsia="標楷體" w:hAnsi="Times New Roman"/>
              </w:rPr>
            </w:pPr>
            <w:r w:rsidRPr="00E87732">
              <w:rPr>
                <w:rFonts w:ascii="Times New Roman" w:eastAsia="標楷體" w:hAnsi="Times New Roman" w:hint="eastAsia"/>
              </w:rPr>
              <w:t>Pazopanib</w:t>
            </w:r>
            <w:r>
              <w:rPr>
                <w:rFonts w:ascii="Times New Roman" w:eastAsia="標楷體" w:hAnsi="Times New Roman"/>
              </w:rPr>
              <w:t>適用於治療先前曾接受化學治療的晚期軟組織肉瘤</w:t>
            </w:r>
            <w:r>
              <w:rPr>
                <w:rFonts w:ascii="Times New Roman" w:eastAsia="標楷體" w:hAnsi="Times New Roman" w:hint="eastAsia"/>
              </w:rPr>
              <w:t>(</w:t>
            </w:r>
            <w:r w:rsidRPr="00E87732">
              <w:rPr>
                <w:rFonts w:ascii="Times New Roman" w:eastAsia="標楷體" w:hAnsi="Times New Roman"/>
              </w:rPr>
              <w:t>STS</w:t>
            </w:r>
            <w:r>
              <w:rPr>
                <w:rFonts w:ascii="Times New Roman" w:eastAsia="標楷體" w:hAnsi="Times New Roman" w:hint="eastAsia"/>
              </w:rPr>
              <w:t>)</w:t>
            </w:r>
            <w:r>
              <w:rPr>
                <w:rFonts w:ascii="Times New Roman" w:eastAsia="標楷體" w:hAnsi="Times New Roman"/>
              </w:rPr>
              <w:t>患者</w:t>
            </w:r>
            <w:r w:rsidRPr="009D69A8">
              <w:rPr>
                <w:rFonts w:ascii="Times New Roman" w:eastAsia="標楷體" w:hAnsi="Times New Roman" w:hint="eastAsia"/>
              </w:rPr>
              <w:t>。</w:t>
            </w:r>
          </w:p>
        </w:tc>
      </w:tr>
      <w:tr w:rsidR="00DF2AEC" w:rsidRPr="0001660E" w:rsidTr="00DF2AEC">
        <w:tc>
          <w:tcPr>
            <w:tcW w:w="15452" w:type="dxa"/>
            <w:gridSpan w:val="2"/>
            <w:tcBorders>
              <w:top w:val="nil"/>
              <w:left w:val="nil"/>
              <w:right w:val="nil"/>
            </w:tcBorders>
          </w:tcPr>
          <w:p w:rsidR="00DF2AEC" w:rsidRPr="0001660E" w:rsidRDefault="00DF2AEC"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Lenvatinib</w:t>
            </w:r>
          </w:p>
        </w:tc>
      </w:tr>
      <w:tr w:rsidR="00DF2AEC" w:rsidRPr="00386048" w:rsidTr="00C7054A">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Borders>
              <w:bottom w:val="single" w:sz="4" w:space="0" w:color="auto"/>
            </w:tcBorders>
          </w:tcPr>
          <w:p w:rsidR="00DF2AEC" w:rsidRPr="00386048" w:rsidRDefault="00DF2AEC" w:rsidP="00E1272F">
            <w:pPr>
              <w:widowControl/>
              <w:rPr>
                <w:rFonts w:ascii="Times New Roman" w:eastAsia="標楷體" w:hAnsi="Times New Roman"/>
              </w:rPr>
            </w:pPr>
            <w:r>
              <w:rPr>
                <w:rFonts w:ascii="Times New Roman" w:eastAsia="標楷體" w:hAnsi="Times New Roman"/>
              </w:rPr>
              <w:t>Lenvatinib</w:t>
            </w:r>
            <w:r w:rsidRPr="005022AB">
              <w:rPr>
                <w:rFonts w:ascii="Times New Roman" w:eastAsia="標楷體" w:hAnsi="Times New Roman"/>
              </w:rPr>
              <w:t>是一種激酶抑制劑，會抑制血管內皮生長因子</w:t>
            </w:r>
            <w:r w:rsidRPr="005022AB">
              <w:rPr>
                <w:rFonts w:ascii="Times New Roman" w:eastAsia="標楷體" w:hAnsi="Times New Roman"/>
              </w:rPr>
              <w:t>(VEGF)</w:t>
            </w:r>
            <w:r w:rsidRPr="005022AB">
              <w:rPr>
                <w:rFonts w:ascii="Times New Roman" w:eastAsia="標楷體" w:hAnsi="Times New Roman"/>
              </w:rPr>
              <w:t>受體</w:t>
            </w:r>
            <w:r w:rsidRPr="005022AB">
              <w:rPr>
                <w:rFonts w:ascii="Times New Roman" w:eastAsia="標楷體" w:hAnsi="Times New Roman"/>
              </w:rPr>
              <w:t>VEGFR1 (FLT1)</w:t>
            </w:r>
            <w:r w:rsidRPr="005022AB">
              <w:rPr>
                <w:rFonts w:ascii="Times New Roman" w:eastAsia="標楷體" w:hAnsi="Times New Roman"/>
              </w:rPr>
              <w:t>、</w:t>
            </w:r>
            <w:r w:rsidRPr="005022AB">
              <w:rPr>
                <w:rFonts w:ascii="Times New Roman" w:eastAsia="標楷體" w:hAnsi="Times New Roman"/>
              </w:rPr>
              <w:t>VEGFR2 (KDR)</w:t>
            </w:r>
            <w:r w:rsidRPr="005022AB">
              <w:rPr>
                <w:rFonts w:ascii="Times New Roman" w:eastAsia="標楷體" w:hAnsi="Times New Roman"/>
              </w:rPr>
              <w:t>和</w:t>
            </w:r>
            <w:r w:rsidRPr="005022AB">
              <w:rPr>
                <w:rFonts w:ascii="Times New Roman" w:eastAsia="標楷體" w:hAnsi="Times New Roman"/>
              </w:rPr>
              <w:t>VEGFR3 (FLT4)</w:t>
            </w:r>
            <w:r w:rsidRPr="005022AB">
              <w:rPr>
                <w:rFonts w:ascii="Times New Roman" w:eastAsia="標楷體" w:hAnsi="Times New Roman"/>
              </w:rPr>
              <w:t>之激酶活性。除了抑制一般細胞功能外，</w:t>
            </w:r>
            <w:r>
              <w:rPr>
                <w:rFonts w:ascii="Times New Roman" w:eastAsia="標楷體" w:hAnsi="Times New Roman"/>
              </w:rPr>
              <w:t>lenvatinib</w:t>
            </w:r>
            <w:r w:rsidRPr="005022AB">
              <w:rPr>
                <w:rFonts w:ascii="Times New Roman" w:eastAsia="標楷體" w:hAnsi="Times New Roman"/>
              </w:rPr>
              <w:t>還會抑制促病因性血管增生、腫瘤生長和癌症惡化相關之激酶活性，包括纖維母細胞生長因子</w:t>
            </w:r>
            <w:r w:rsidRPr="005022AB">
              <w:rPr>
                <w:rFonts w:ascii="Times New Roman" w:eastAsia="標楷體" w:hAnsi="Times New Roman"/>
              </w:rPr>
              <w:t>(FGF)</w:t>
            </w:r>
            <w:r w:rsidRPr="005022AB">
              <w:rPr>
                <w:rFonts w:ascii="Times New Roman" w:eastAsia="標楷體" w:hAnsi="Times New Roman"/>
              </w:rPr>
              <w:t>受體</w:t>
            </w:r>
            <w:r w:rsidRPr="005022AB">
              <w:rPr>
                <w:rFonts w:ascii="Times New Roman" w:eastAsia="標楷體" w:hAnsi="Times New Roman"/>
              </w:rPr>
              <w:t>FGFR1</w:t>
            </w:r>
            <w:r w:rsidRPr="005022AB">
              <w:rPr>
                <w:rFonts w:ascii="Times New Roman" w:eastAsia="標楷體" w:hAnsi="Times New Roman"/>
              </w:rPr>
              <w:t>、</w:t>
            </w:r>
            <w:r w:rsidRPr="005022AB">
              <w:rPr>
                <w:rFonts w:ascii="Times New Roman" w:eastAsia="標楷體" w:hAnsi="Times New Roman"/>
              </w:rPr>
              <w:t>2</w:t>
            </w:r>
            <w:r w:rsidRPr="005022AB">
              <w:rPr>
                <w:rFonts w:ascii="Times New Roman" w:eastAsia="標楷體" w:hAnsi="Times New Roman"/>
              </w:rPr>
              <w:t>、</w:t>
            </w:r>
            <w:r w:rsidRPr="005022AB">
              <w:rPr>
                <w:rFonts w:ascii="Times New Roman" w:eastAsia="標楷體" w:hAnsi="Times New Roman"/>
              </w:rPr>
              <w:t>3</w:t>
            </w:r>
            <w:r w:rsidRPr="005022AB">
              <w:rPr>
                <w:rFonts w:ascii="Times New Roman" w:eastAsia="標楷體" w:hAnsi="Times New Roman"/>
              </w:rPr>
              <w:t>、</w:t>
            </w:r>
            <w:r w:rsidRPr="005022AB">
              <w:rPr>
                <w:rFonts w:ascii="Times New Roman" w:eastAsia="標楷體" w:hAnsi="Times New Roman"/>
              </w:rPr>
              <w:t>4</w:t>
            </w:r>
            <w:r w:rsidRPr="005022AB">
              <w:rPr>
                <w:rFonts w:ascii="Times New Roman" w:eastAsia="標楷體" w:hAnsi="Times New Roman"/>
              </w:rPr>
              <w:t>；血小板衍生生長因子受體</w:t>
            </w:r>
            <w:r w:rsidRPr="005022AB">
              <w:rPr>
                <w:rFonts w:ascii="Times New Roman" w:eastAsia="標楷體" w:hAnsi="Times New Roman"/>
              </w:rPr>
              <w:t>(PDGFRα)</w:t>
            </w:r>
            <w:r w:rsidRPr="005022AB">
              <w:rPr>
                <w:rFonts w:ascii="Times New Roman" w:eastAsia="標楷體" w:hAnsi="Times New Roman"/>
              </w:rPr>
              <w:t>、</w:t>
            </w:r>
            <w:r>
              <w:rPr>
                <w:rFonts w:ascii="Times New Roman" w:eastAsia="標楷體" w:hAnsi="Times New Roman"/>
              </w:rPr>
              <w:t>KIT</w:t>
            </w:r>
            <w:r w:rsidRPr="005022AB">
              <w:rPr>
                <w:rFonts w:ascii="Times New Roman" w:eastAsia="標楷體" w:hAnsi="Times New Roman"/>
              </w:rPr>
              <w:t>和</w:t>
            </w:r>
            <w:r w:rsidRPr="005022AB">
              <w:rPr>
                <w:rFonts w:ascii="Times New Roman" w:eastAsia="標楷體" w:hAnsi="Times New Roman"/>
              </w:rPr>
              <w:t>RET</w:t>
            </w:r>
            <w:r w:rsidRPr="005022AB">
              <w:rPr>
                <w:rFonts w:ascii="Times New Roman" w:eastAsia="標楷體" w:hAnsi="Times New Roman"/>
              </w:rPr>
              <w:t>。</w:t>
            </w:r>
            <w:r w:rsidRPr="005022AB">
              <w:rPr>
                <w:rFonts w:ascii="Times New Roman" w:eastAsia="標楷體" w:hAnsi="Times New Roman"/>
              </w:rPr>
              <w:t>Lenvatinib</w:t>
            </w:r>
            <w:r w:rsidRPr="005022AB">
              <w:rPr>
                <w:rFonts w:ascii="Times New Roman" w:eastAsia="標楷體" w:hAnsi="Times New Roman"/>
              </w:rPr>
              <w:t>在依賴</w:t>
            </w:r>
            <w:r>
              <w:rPr>
                <w:rFonts w:ascii="Times New Roman" w:eastAsia="標楷體" w:hAnsi="Times New Roman"/>
              </w:rPr>
              <w:t>FGFR</w:t>
            </w:r>
            <w:r w:rsidRPr="005022AB">
              <w:rPr>
                <w:rFonts w:ascii="Times New Roman" w:eastAsia="標楷體" w:hAnsi="Times New Roman"/>
              </w:rPr>
              <w:t>訊息活化的肝細胞株中具有抗增生的活性，同時抑制</w:t>
            </w:r>
            <w:r>
              <w:rPr>
                <w:rFonts w:ascii="Times New Roman" w:eastAsia="標楷體" w:hAnsi="Times New Roman"/>
              </w:rPr>
              <w:t>FGF</w:t>
            </w:r>
            <w:r w:rsidRPr="005022AB">
              <w:rPr>
                <w:rFonts w:ascii="Times New Roman" w:eastAsia="標楷體" w:hAnsi="Times New Roman"/>
              </w:rPr>
              <w:t>受體</w:t>
            </w:r>
            <w:r>
              <w:rPr>
                <w:rFonts w:ascii="Times New Roman" w:eastAsia="標楷體" w:hAnsi="Times New Roman"/>
              </w:rPr>
              <w:t>2α</w:t>
            </w:r>
            <w:r w:rsidRPr="005022AB">
              <w:rPr>
                <w:rFonts w:ascii="Times New Roman" w:eastAsia="標楷體" w:hAnsi="Times New Roman"/>
              </w:rPr>
              <w:t>受質</w:t>
            </w:r>
            <w:r w:rsidRPr="005022AB">
              <w:rPr>
                <w:rFonts w:ascii="Times New Roman" w:eastAsia="標楷體" w:hAnsi="Times New Roman"/>
              </w:rPr>
              <w:t>(FRS2α)</w:t>
            </w:r>
            <w:r w:rsidRPr="005022AB">
              <w:rPr>
                <w:rFonts w:ascii="Times New Roman" w:eastAsia="標楷體" w:hAnsi="Times New Roman"/>
              </w:rPr>
              <w:t>之磷酸化。在同源小鼠腫瘤模式中，</w:t>
            </w:r>
            <w:r w:rsidRPr="005022AB">
              <w:rPr>
                <w:rFonts w:ascii="Times New Roman" w:eastAsia="標楷體" w:hAnsi="Times New Roman"/>
              </w:rPr>
              <w:t>lenvat</w:t>
            </w:r>
            <w:r>
              <w:rPr>
                <w:rFonts w:ascii="Times New Roman" w:eastAsia="標楷體" w:hAnsi="Times New Roman"/>
              </w:rPr>
              <w:t>inib</w:t>
            </w:r>
            <w:r w:rsidRPr="005022AB">
              <w:rPr>
                <w:rFonts w:ascii="Times New Roman" w:eastAsia="標楷體" w:hAnsi="Times New Roman"/>
              </w:rPr>
              <w:t>會減少腫瘤關聯性巨噬細胞，增加活化的毒殺性</w:t>
            </w:r>
            <w:r>
              <w:rPr>
                <w:rFonts w:ascii="Times New Roman" w:eastAsia="標楷體" w:hAnsi="Times New Roman"/>
              </w:rPr>
              <w:t xml:space="preserve"> T</w:t>
            </w:r>
            <w:r w:rsidRPr="005022AB">
              <w:rPr>
                <w:rFonts w:ascii="Times New Roman" w:eastAsia="標楷體" w:hAnsi="Times New Roman"/>
              </w:rPr>
              <w:t>細胞，並顯示</w:t>
            </w:r>
            <w:r>
              <w:rPr>
                <w:rFonts w:ascii="Times New Roman" w:eastAsia="標楷體" w:hAnsi="Times New Roman"/>
              </w:rPr>
              <w:t>lenvatinib</w:t>
            </w:r>
            <w:r w:rsidRPr="005022AB">
              <w:rPr>
                <w:rFonts w:ascii="Times New Roman" w:eastAsia="標楷體" w:hAnsi="Times New Roman"/>
              </w:rPr>
              <w:t>併用抗</w:t>
            </w:r>
            <w:r>
              <w:rPr>
                <w:rFonts w:ascii="Times New Roman" w:eastAsia="標楷體" w:hAnsi="Times New Roman"/>
              </w:rPr>
              <w:t>PD-1</w:t>
            </w:r>
            <w:r w:rsidRPr="005022AB">
              <w:rPr>
                <w:rFonts w:ascii="Times New Roman" w:eastAsia="標楷體" w:hAnsi="Times New Roman"/>
              </w:rPr>
              <w:t>單株抗體比單獨使用其中任一治療的抗腫瘤活性更強。</w:t>
            </w:r>
            <w:r>
              <w:rPr>
                <w:rFonts w:ascii="Times New Roman" w:eastAsia="標楷體" w:hAnsi="Times New Roman"/>
              </w:rPr>
              <w:t>Lenvatinib</w:t>
            </w:r>
            <w:r w:rsidRPr="005022AB">
              <w:rPr>
                <w:rFonts w:ascii="Times New Roman" w:eastAsia="標楷體" w:hAnsi="Times New Roman"/>
              </w:rPr>
              <w:t>與</w:t>
            </w:r>
            <w:r>
              <w:rPr>
                <w:rFonts w:ascii="Times New Roman" w:eastAsia="標楷體" w:hAnsi="Times New Roman"/>
              </w:rPr>
              <w:t>everolimus</w:t>
            </w:r>
            <w:r w:rsidRPr="005022AB">
              <w:rPr>
                <w:rFonts w:ascii="Times New Roman" w:eastAsia="標楷體" w:hAnsi="Times New Roman"/>
              </w:rPr>
              <w:t>的併用能增強抗血管新生及抗腫瘤的效果，其效果在體外試驗中能減少人類內皮細胞的增生、血管生成及</w:t>
            </w:r>
            <w:r>
              <w:rPr>
                <w:rFonts w:ascii="Times New Roman" w:eastAsia="標楷體" w:hAnsi="Times New Roman"/>
              </w:rPr>
              <w:t>VEGF</w:t>
            </w:r>
            <w:r w:rsidRPr="005022AB">
              <w:rPr>
                <w:rFonts w:ascii="Times New Roman" w:eastAsia="標楷體" w:hAnsi="Times New Roman"/>
              </w:rPr>
              <w:t>的訊息傳遞，以及在小鼠異種移植研究模型中，合併使用比單獨使用更縮小人類腎細胞癌的腫瘤體積而得以證實。</w:t>
            </w:r>
          </w:p>
        </w:tc>
      </w:tr>
      <w:tr w:rsidR="00DF2AEC" w:rsidRPr="008A3F92" w:rsidTr="00C7054A">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AF5EF5" w:rsidRDefault="00DF2AEC" w:rsidP="003555E5">
            <w:pPr>
              <w:pStyle w:val="a9"/>
              <w:widowControl/>
              <w:numPr>
                <w:ilvl w:val="0"/>
                <w:numId w:val="11"/>
              </w:numPr>
              <w:tabs>
                <w:tab w:val="left" w:pos="3255"/>
              </w:tabs>
              <w:ind w:leftChars="0"/>
              <w:rPr>
                <w:rFonts w:ascii="Times New Roman" w:eastAsia="標楷體" w:hAnsi="Times New Roman"/>
              </w:rPr>
            </w:pPr>
            <w:r w:rsidRPr="005022AB">
              <w:rPr>
                <w:rFonts w:ascii="Times New Roman" w:eastAsia="標楷體" w:hAnsi="Times New Roman"/>
              </w:rPr>
              <w:t>分化型甲狀腺癌</w:t>
            </w:r>
            <w:r w:rsidRPr="005022AB">
              <w:rPr>
                <w:rFonts w:ascii="Times New Roman" w:eastAsia="標楷體" w:hAnsi="Times New Roman"/>
              </w:rPr>
              <w:t>(Differentiated thyroid cancer, DTC)</w:t>
            </w:r>
            <w:r>
              <w:rPr>
                <w:rFonts w:ascii="Times New Roman" w:eastAsia="標楷體" w:hAnsi="Times New Roman" w:hint="eastAsia"/>
              </w:rPr>
              <w:t>：</w:t>
            </w:r>
            <w:r w:rsidRPr="005022AB">
              <w:rPr>
                <w:rFonts w:ascii="Times New Roman" w:eastAsia="標楷體" w:hAnsi="Times New Roman"/>
              </w:rPr>
              <w:t>適用於放射性碘治療無效之進行性，且為局部晚期或轉移性之分化型甲狀腺癌之成人病人。</w:t>
            </w:r>
          </w:p>
          <w:p w:rsidR="00DF2AEC" w:rsidRPr="00AF5EF5" w:rsidRDefault="00DF2AEC" w:rsidP="003555E5">
            <w:pPr>
              <w:pStyle w:val="a9"/>
              <w:widowControl/>
              <w:numPr>
                <w:ilvl w:val="0"/>
                <w:numId w:val="11"/>
              </w:numPr>
              <w:tabs>
                <w:tab w:val="left" w:pos="3255"/>
              </w:tabs>
              <w:ind w:leftChars="0"/>
              <w:rPr>
                <w:rFonts w:ascii="Times New Roman" w:eastAsia="標楷體" w:hAnsi="Times New Roman"/>
              </w:rPr>
            </w:pPr>
            <w:r w:rsidRPr="005022AB">
              <w:rPr>
                <w:rFonts w:ascii="Times New Roman" w:eastAsia="標楷體" w:hAnsi="Times New Roman"/>
              </w:rPr>
              <w:t>腎細胞癌</w:t>
            </w:r>
            <w:r w:rsidRPr="005022AB">
              <w:rPr>
                <w:rFonts w:ascii="Times New Roman" w:eastAsia="標楷體" w:hAnsi="Times New Roman"/>
              </w:rPr>
              <w:t>(Renal Cell Carcinoma, RCC)</w:t>
            </w:r>
            <w:r>
              <w:rPr>
                <w:rFonts w:ascii="Times New Roman" w:eastAsia="標楷體" w:hAnsi="Times New Roman" w:hint="eastAsia"/>
              </w:rPr>
              <w:t>：</w:t>
            </w:r>
            <w:r w:rsidRPr="005022AB">
              <w:rPr>
                <w:rFonts w:ascii="Times New Roman" w:eastAsia="標楷體" w:hAnsi="Times New Roman"/>
              </w:rPr>
              <w:t>適用於和</w:t>
            </w:r>
            <w:r w:rsidRPr="005022AB">
              <w:rPr>
                <w:rFonts w:ascii="Times New Roman" w:eastAsia="標楷體" w:hAnsi="Times New Roman"/>
              </w:rPr>
              <w:t>everolimus</w:t>
            </w:r>
            <w:r w:rsidRPr="005022AB">
              <w:rPr>
                <w:rFonts w:ascii="Times New Roman" w:eastAsia="標楷體" w:hAnsi="Times New Roman"/>
              </w:rPr>
              <w:t>併用治療曾經接受過一種抗血管新生療法的晚期腎細胞癌病人。</w:t>
            </w:r>
          </w:p>
          <w:p w:rsidR="00DF2AEC" w:rsidRPr="00AF5EF5" w:rsidRDefault="00DF2AEC" w:rsidP="003555E5">
            <w:pPr>
              <w:pStyle w:val="a9"/>
              <w:widowControl/>
              <w:numPr>
                <w:ilvl w:val="0"/>
                <w:numId w:val="11"/>
              </w:numPr>
              <w:tabs>
                <w:tab w:val="left" w:pos="3255"/>
              </w:tabs>
              <w:ind w:leftChars="0"/>
              <w:rPr>
                <w:rFonts w:ascii="Times New Roman" w:eastAsia="標楷體" w:hAnsi="Times New Roman"/>
              </w:rPr>
            </w:pPr>
            <w:r w:rsidRPr="005022AB">
              <w:rPr>
                <w:rFonts w:ascii="Times New Roman" w:eastAsia="標楷體" w:hAnsi="Times New Roman"/>
              </w:rPr>
              <w:t>肝細胞癌</w:t>
            </w:r>
            <w:r w:rsidRPr="005022AB">
              <w:rPr>
                <w:rFonts w:ascii="Times New Roman" w:eastAsia="標楷體" w:hAnsi="Times New Roman"/>
              </w:rPr>
              <w:t>(Hepatocellular Carcinoma)</w:t>
            </w:r>
            <w:r>
              <w:rPr>
                <w:rFonts w:ascii="Times New Roman" w:eastAsia="標楷體" w:hAnsi="Times New Roman" w:hint="eastAsia"/>
              </w:rPr>
              <w:t>：</w:t>
            </w:r>
            <w:r w:rsidRPr="005022AB">
              <w:rPr>
                <w:rFonts w:ascii="Times New Roman" w:eastAsia="標楷體" w:hAnsi="Times New Roman"/>
              </w:rPr>
              <w:t>適用於無法手術切除且不適合局部治療之晚期肝細胞癌病人。</w:t>
            </w:r>
          </w:p>
          <w:p w:rsidR="00DF2AEC" w:rsidRPr="008A3F92" w:rsidRDefault="00DF2AEC" w:rsidP="003555E5">
            <w:pPr>
              <w:pStyle w:val="a9"/>
              <w:widowControl/>
              <w:numPr>
                <w:ilvl w:val="0"/>
                <w:numId w:val="11"/>
              </w:numPr>
              <w:tabs>
                <w:tab w:val="left" w:pos="3255"/>
              </w:tabs>
              <w:ind w:leftChars="0"/>
              <w:rPr>
                <w:rFonts w:ascii="Times New Roman" w:eastAsia="標楷體" w:hAnsi="Times New Roman"/>
              </w:rPr>
            </w:pPr>
            <w:r w:rsidRPr="005022AB">
              <w:rPr>
                <w:rFonts w:ascii="Times New Roman" w:eastAsia="標楷體" w:hAnsi="Times New Roman"/>
              </w:rPr>
              <w:t>子宮內膜癌</w:t>
            </w:r>
            <w:r w:rsidRPr="005022AB">
              <w:rPr>
                <w:rFonts w:ascii="Times New Roman" w:eastAsia="標楷體" w:hAnsi="Times New Roman"/>
              </w:rPr>
              <w:t>(Endometrial Carcinoma)</w:t>
            </w:r>
            <w:r>
              <w:rPr>
                <w:rFonts w:ascii="Times New Roman" w:eastAsia="標楷體" w:hAnsi="Times New Roman" w:hint="eastAsia"/>
              </w:rPr>
              <w:t>：</w:t>
            </w:r>
            <w:r w:rsidRPr="005022AB">
              <w:rPr>
                <w:rFonts w:ascii="Times New Roman" w:eastAsia="標楷體" w:hAnsi="Times New Roman"/>
              </w:rPr>
              <w:t>與</w:t>
            </w:r>
            <w:r w:rsidRPr="005022AB">
              <w:rPr>
                <w:rFonts w:ascii="Times New Roman" w:eastAsia="標楷體" w:hAnsi="Times New Roman"/>
              </w:rPr>
              <w:t>pembrolizumab</w:t>
            </w:r>
            <w:r w:rsidRPr="005022AB">
              <w:rPr>
                <w:rFonts w:ascii="Times New Roman" w:eastAsia="標楷體" w:hAnsi="Times New Roman"/>
              </w:rPr>
              <w:t>併用適用於曾經接受過全身性治療後疾病惡化，且不適合根治手術或放射治療的不具有高微衛星不穩定性</w:t>
            </w:r>
            <w:r w:rsidRPr="005022AB">
              <w:rPr>
                <w:rFonts w:ascii="Times New Roman" w:eastAsia="標楷體" w:hAnsi="Times New Roman"/>
              </w:rPr>
              <w:t>(microsatellite instability-high, MSI-H)</w:t>
            </w:r>
            <w:r w:rsidRPr="005022AB">
              <w:rPr>
                <w:rFonts w:ascii="Times New Roman" w:eastAsia="標楷體" w:hAnsi="Times New Roman"/>
              </w:rPr>
              <w:t>或錯誤配對修復功能不足</w:t>
            </w:r>
            <w:r w:rsidRPr="005022AB">
              <w:rPr>
                <w:rFonts w:ascii="Times New Roman" w:eastAsia="標楷體" w:hAnsi="Times New Roman"/>
              </w:rPr>
              <w:t>(mismatch repair deficient, dMMR)</w:t>
            </w:r>
            <w:r w:rsidRPr="005022AB">
              <w:rPr>
                <w:rFonts w:ascii="Times New Roman" w:eastAsia="標楷體" w:hAnsi="Times New Roman"/>
              </w:rPr>
              <w:t>之晚期子宮內膜癌病人。</w:t>
            </w:r>
          </w:p>
        </w:tc>
      </w:tr>
      <w:tr w:rsidR="00DF2AEC" w:rsidRPr="0001660E" w:rsidTr="00C7054A">
        <w:tc>
          <w:tcPr>
            <w:tcW w:w="15452" w:type="dxa"/>
            <w:gridSpan w:val="2"/>
            <w:tcBorders>
              <w:top w:val="single" w:sz="4" w:space="0" w:color="auto"/>
              <w:left w:val="nil"/>
              <w:bottom w:val="nil"/>
              <w:right w:val="nil"/>
            </w:tcBorders>
          </w:tcPr>
          <w:p w:rsidR="00DF2AEC" w:rsidRPr="0001660E" w:rsidRDefault="00DF2AEC" w:rsidP="00C7054A">
            <w:pPr>
              <w:pStyle w:val="a9"/>
              <w:widowControl/>
              <w:ind w:leftChars="0"/>
              <w:rPr>
                <w:rFonts w:ascii="Times New Roman" w:eastAsia="標楷體"/>
                <w:b/>
                <w:bCs/>
                <w:color w:val="000000" w:themeColor="text1"/>
                <w:kern w:val="36"/>
                <w:lang w:bidi="hi-IN"/>
              </w:rPr>
            </w:pPr>
          </w:p>
        </w:tc>
      </w:tr>
      <w:tr w:rsidR="00C7054A" w:rsidRPr="0001660E" w:rsidTr="00C7054A">
        <w:tc>
          <w:tcPr>
            <w:tcW w:w="15452" w:type="dxa"/>
            <w:gridSpan w:val="2"/>
            <w:tcBorders>
              <w:top w:val="nil"/>
              <w:left w:val="nil"/>
              <w:bottom w:val="nil"/>
              <w:right w:val="nil"/>
            </w:tcBorders>
          </w:tcPr>
          <w:p w:rsidR="00C7054A" w:rsidRPr="00C7054A" w:rsidRDefault="00C7054A" w:rsidP="00C7054A">
            <w:pPr>
              <w:widowControl/>
              <w:rPr>
                <w:rFonts w:ascii="Times New Roman" w:eastAsia="標楷體"/>
                <w:b/>
                <w:bCs/>
                <w:color w:val="000000" w:themeColor="text1"/>
                <w:kern w:val="36"/>
                <w:lang w:bidi="hi-IN"/>
              </w:rPr>
            </w:pPr>
          </w:p>
        </w:tc>
      </w:tr>
      <w:tr w:rsidR="00C7054A" w:rsidRPr="0001660E" w:rsidTr="00C7054A">
        <w:tc>
          <w:tcPr>
            <w:tcW w:w="15452" w:type="dxa"/>
            <w:gridSpan w:val="2"/>
            <w:tcBorders>
              <w:top w:val="nil"/>
              <w:left w:val="nil"/>
              <w:bottom w:val="nil"/>
              <w:right w:val="nil"/>
            </w:tcBorders>
          </w:tcPr>
          <w:p w:rsidR="00C7054A" w:rsidRPr="00C7054A" w:rsidRDefault="00C7054A" w:rsidP="00C7054A">
            <w:pPr>
              <w:widowControl/>
              <w:rPr>
                <w:rFonts w:ascii="Times New Roman" w:eastAsia="標楷體"/>
                <w:b/>
                <w:bCs/>
                <w:color w:val="000000" w:themeColor="text1"/>
                <w:kern w:val="36"/>
                <w:lang w:bidi="hi-IN"/>
              </w:rPr>
            </w:pPr>
          </w:p>
        </w:tc>
      </w:tr>
      <w:tr w:rsidR="00C7054A" w:rsidRPr="0001660E" w:rsidTr="00C7054A">
        <w:tc>
          <w:tcPr>
            <w:tcW w:w="15452" w:type="dxa"/>
            <w:gridSpan w:val="2"/>
            <w:tcBorders>
              <w:top w:val="nil"/>
              <w:left w:val="nil"/>
              <w:right w:val="nil"/>
            </w:tcBorders>
          </w:tcPr>
          <w:p w:rsidR="00C7054A" w:rsidRPr="0001660E" w:rsidRDefault="00C7054A" w:rsidP="003555E5">
            <w:pPr>
              <w:pStyle w:val="a9"/>
              <w:widowControl/>
              <w:numPr>
                <w:ilvl w:val="0"/>
                <w:numId w:val="6"/>
              </w:numPr>
              <w:ind w:leftChars="0"/>
              <w:rPr>
                <w:rFonts w:ascii="Times New Roman" w:eastAsia="標楷體"/>
                <w:b/>
                <w:bCs/>
                <w:color w:val="000000" w:themeColor="text1"/>
                <w:kern w:val="36"/>
                <w:lang w:bidi="hi-IN"/>
              </w:rPr>
            </w:pPr>
            <w:r w:rsidRPr="0001660E">
              <w:rPr>
                <w:rFonts w:ascii="Times New Roman" w:eastAsia="標楷體"/>
                <w:b/>
                <w:bCs/>
                <w:color w:val="000000" w:themeColor="text1"/>
                <w:kern w:val="36"/>
                <w:lang w:bidi="hi-IN"/>
              </w:rPr>
              <w:t>Nintedanib</w:t>
            </w:r>
          </w:p>
        </w:tc>
      </w:tr>
      <w:tr w:rsidR="00DF2AEC" w:rsidRPr="00023B86" w:rsidTr="00E1272F">
        <w:tc>
          <w:tcPr>
            <w:tcW w:w="970" w:type="dxa"/>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F2AEC" w:rsidRPr="00023B86" w:rsidRDefault="00DF2AEC" w:rsidP="00E1272F">
            <w:pPr>
              <w:widowControl/>
              <w:rPr>
                <w:rFonts w:ascii="Times New Roman" w:eastAsia="標楷體" w:hAnsi="Times New Roman"/>
              </w:rPr>
            </w:pPr>
            <w:r>
              <w:rPr>
                <w:rFonts w:ascii="Times New Roman" w:eastAsia="標楷體" w:hAnsi="Times New Roman"/>
              </w:rPr>
              <w:t>Nintedanib</w:t>
            </w:r>
            <w:r>
              <w:rPr>
                <w:rFonts w:ascii="Times New Roman" w:eastAsia="標楷體" w:hAnsi="Times New Roman"/>
              </w:rPr>
              <w:t>能抑制多種受體酪胺酸激酶</w:t>
            </w:r>
            <w:r>
              <w:rPr>
                <w:rFonts w:ascii="Times New Roman" w:eastAsia="標楷體" w:hAnsi="Times New Roman"/>
              </w:rPr>
              <w:t>(</w:t>
            </w:r>
            <w:r w:rsidRPr="00AB602C">
              <w:rPr>
                <w:rFonts w:ascii="Times New Roman" w:eastAsia="標楷體" w:hAnsi="Times New Roman"/>
              </w:rPr>
              <w:t>RTK</w:t>
            </w:r>
            <w:r>
              <w:rPr>
                <w:rFonts w:ascii="Times New Roman" w:eastAsia="標楷體" w:hAnsi="Times New Roman"/>
              </w:rPr>
              <w:t>)</w:t>
            </w:r>
            <w:r>
              <w:rPr>
                <w:rFonts w:ascii="Times New Roman" w:eastAsia="標楷體" w:hAnsi="Times New Roman"/>
              </w:rPr>
              <w:t>和非受體酪胺酸激酶</w:t>
            </w:r>
            <w:r>
              <w:rPr>
                <w:rFonts w:ascii="Times New Roman" w:eastAsia="標楷體" w:hAnsi="Times New Roman"/>
              </w:rPr>
              <w:t>(</w:t>
            </w:r>
            <w:r w:rsidRPr="00AB602C">
              <w:rPr>
                <w:rFonts w:ascii="Times New Roman" w:eastAsia="標楷體" w:hAnsi="Times New Roman"/>
              </w:rPr>
              <w:t>nRTK</w:t>
            </w:r>
            <w:r>
              <w:rPr>
                <w:rFonts w:ascii="Times New Roman" w:eastAsia="標楷體" w:hAnsi="Times New Roman"/>
              </w:rPr>
              <w:t>)</w:t>
            </w:r>
            <w:r w:rsidRPr="00AB602C">
              <w:rPr>
                <w:rFonts w:ascii="Times New Roman" w:eastAsia="標楷體" w:hAnsi="Times New Roman"/>
              </w:rPr>
              <w:t>的小分子。</w:t>
            </w:r>
            <w:r w:rsidRPr="00AB602C">
              <w:rPr>
                <w:rFonts w:ascii="Times New Roman" w:eastAsia="標楷體" w:hAnsi="Times New Roman"/>
              </w:rPr>
              <w:t>Nintedanib</w:t>
            </w:r>
            <w:r w:rsidRPr="00AB602C">
              <w:rPr>
                <w:rFonts w:ascii="Times New Roman" w:eastAsia="標楷體" w:hAnsi="Times New Roman"/>
              </w:rPr>
              <w:t>可抑制下列</w:t>
            </w:r>
            <w:r w:rsidRPr="00AB602C">
              <w:rPr>
                <w:rFonts w:ascii="Times New Roman" w:eastAsia="標楷體" w:hAnsi="Times New Roman"/>
              </w:rPr>
              <w:t>RTK</w:t>
            </w:r>
            <w:r>
              <w:rPr>
                <w:rFonts w:ascii="Times New Roman" w:eastAsia="標楷體" w:hAnsi="Times New Roman"/>
              </w:rPr>
              <w:t>：血小板衍生之生長因子受體</w:t>
            </w:r>
            <w:r>
              <w:rPr>
                <w:rFonts w:ascii="Times New Roman" w:eastAsia="標楷體" w:hAnsi="Times New Roman"/>
              </w:rPr>
              <w:t>(</w:t>
            </w:r>
            <w:r w:rsidRPr="00AB602C">
              <w:rPr>
                <w:rFonts w:ascii="Times New Roman" w:eastAsia="標楷體" w:hAnsi="Times New Roman"/>
              </w:rPr>
              <w:t>PDGFR</w:t>
            </w:r>
            <w:r>
              <w:rPr>
                <w:rFonts w:ascii="Times New Roman" w:eastAsia="標楷體" w:hAnsi="Times New Roman"/>
              </w:rPr>
              <w:t>) α</w:t>
            </w:r>
            <w:r w:rsidRPr="00AB602C">
              <w:rPr>
                <w:rFonts w:ascii="Times New Roman" w:eastAsia="標楷體" w:hAnsi="Times New Roman"/>
              </w:rPr>
              <w:t>與</w:t>
            </w:r>
            <w:r w:rsidRPr="00AB602C">
              <w:rPr>
                <w:rFonts w:ascii="Times New Roman" w:eastAsia="標楷體" w:hAnsi="Times New Roman"/>
              </w:rPr>
              <w:t>β</w:t>
            </w:r>
            <w:r w:rsidRPr="00AB602C">
              <w:rPr>
                <w:rFonts w:ascii="Times New Roman" w:eastAsia="標楷體" w:hAnsi="Times New Roman"/>
              </w:rPr>
              <w:t>、纖維母細胞生長因子受體</w:t>
            </w:r>
            <w:r>
              <w:rPr>
                <w:rFonts w:ascii="Times New Roman" w:eastAsia="標楷體" w:hAnsi="Times New Roman"/>
              </w:rPr>
              <w:t>(</w:t>
            </w:r>
            <w:r w:rsidRPr="00AB602C">
              <w:rPr>
                <w:rFonts w:ascii="Times New Roman" w:eastAsia="標楷體" w:hAnsi="Times New Roman"/>
              </w:rPr>
              <w:t>FGFR</w:t>
            </w:r>
            <w:r>
              <w:rPr>
                <w:rFonts w:ascii="Times New Roman" w:eastAsia="標楷體" w:hAnsi="Times New Roman"/>
              </w:rPr>
              <w:t xml:space="preserve">) </w:t>
            </w:r>
            <w:r w:rsidRPr="00AB602C">
              <w:rPr>
                <w:rFonts w:ascii="Times New Roman" w:eastAsia="標楷體" w:hAnsi="Times New Roman"/>
              </w:rPr>
              <w:t>1-3</w:t>
            </w:r>
            <w:r>
              <w:rPr>
                <w:rFonts w:ascii="Times New Roman" w:eastAsia="標楷體" w:hAnsi="Times New Roman"/>
              </w:rPr>
              <w:t>、血管內皮生長因子受體</w:t>
            </w:r>
            <w:r>
              <w:rPr>
                <w:rFonts w:ascii="Times New Roman" w:eastAsia="標楷體" w:hAnsi="Times New Roman"/>
              </w:rPr>
              <w:t>(</w:t>
            </w:r>
            <w:r w:rsidRPr="00AB602C">
              <w:rPr>
                <w:rFonts w:ascii="Times New Roman" w:eastAsia="標楷體" w:hAnsi="Times New Roman"/>
              </w:rPr>
              <w:t>VEGFR</w:t>
            </w:r>
            <w:r>
              <w:rPr>
                <w:rFonts w:ascii="Times New Roman" w:eastAsia="標楷體" w:hAnsi="Times New Roman"/>
              </w:rPr>
              <w:t xml:space="preserve">) </w:t>
            </w:r>
            <w:r w:rsidRPr="00AB602C">
              <w:rPr>
                <w:rFonts w:ascii="Times New Roman" w:eastAsia="標楷體" w:hAnsi="Times New Roman"/>
              </w:rPr>
              <w:t>1-3</w:t>
            </w:r>
            <w:r w:rsidRPr="00AB602C">
              <w:rPr>
                <w:rFonts w:ascii="Times New Roman" w:eastAsia="標楷體" w:hAnsi="Times New Roman"/>
              </w:rPr>
              <w:t>、群落刺激因子</w:t>
            </w:r>
            <w:r>
              <w:rPr>
                <w:rFonts w:ascii="Times New Roman" w:eastAsia="標楷體" w:hAnsi="Times New Roman"/>
              </w:rPr>
              <w:t>1</w:t>
            </w:r>
            <w:r w:rsidRPr="00AB602C">
              <w:rPr>
                <w:rFonts w:ascii="Times New Roman" w:eastAsia="標楷體" w:hAnsi="Times New Roman"/>
              </w:rPr>
              <w:t>受體</w:t>
            </w:r>
            <w:r w:rsidRPr="00AB602C">
              <w:rPr>
                <w:rFonts w:ascii="Times New Roman" w:eastAsia="標楷體" w:hAnsi="Times New Roman"/>
              </w:rPr>
              <w:t>(CSF1R)</w:t>
            </w:r>
            <w:r w:rsidRPr="00AB602C">
              <w:rPr>
                <w:rFonts w:ascii="Times New Roman" w:eastAsia="標楷體" w:hAnsi="Times New Roman"/>
              </w:rPr>
              <w:t>與似</w:t>
            </w:r>
            <w:r w:rsidRPr="00AB602C">
              <w:rPr>
                <w:rFonts w:ascii="Times New Roman" w:eastAsia="標楷體" w:hAnsi="Times New Roman"/>
              </w:rPr>
              <w:t xml:space="preserve">Fms </w:t>
            </w:r>
            <w:r w:rsidRPr="00AB602C">
              <w:rPr>
                <w:rFonts w:ascii="Times New Roman" w:eastAsia="標楷體" w:hAnsi="Times New Roman"/>
              </w:rPr>
              <w:t>酪胺酸激酶</w:t>
            </w:r>
            <w:r w:rsidRPr="00AB602C">
              <w:rPr>
                <w:rFonts w:ascii="Times New Roman" w:eastAsia="標楷體" w:hAnsi="Times New Roman"/>
              </w:rPr>
              <w:t>3</w:t>
            </w:r>
            <w:r>
              <w:rPr>
                <w:rFonts w:ascii="Times New Roman" w:eastAsia="標楷體" w:hAnsi="Times New Roman"/>
              </w:rPr>
              <w:t xml:space="preserve"> </w:t>
            </w:r>
            <w:r w:rsidRPr="00AB602C">
              <w:rPr>
                <w:rFonts w:ascii="Times New Roman" w:eastAsia="標楷體" w:hAnsi="Times New Roman"/>
              </w:rPr>
              <w:t>(FLT3)</w:t>
            </w:r>
            <w:r w:rsidRPr="00AB602C">
              <w:rPr>
                <w:rFonts w:ascii="Times New Roman" w:eastAsia="標楷體" w:hAnsi="Times New Roman"/>
              </w:rPr>
              <w:t>。除了</w:t>
            </w:r>
            <w:r>
              <w:rPr>
                <w:rFonts w:ascii="Times New Roman" w:eastAsia="標楷體" w:hAnsi="Times New Roman"/>
              </w:rPr>
              <w:t>FLT3</w:t>
            </w:r>
            <w:r w:rsidRPr="00AB602C">
              <w:rPr>
                <w:rFonts w:ascii="Times New Roman" w:eastAsia="標楷體" w:hAnsi="Times New Roman"/>
              </w:rPr>
              <w:t>之外的上述這些激酶，與間質性肺病</w:t>
            </w:r>
            <w:r w:rsidRPr="00AB602C">
              <w:rPr>
                <w:rFonts w:ascii="Times New Roman" w:eastAsia="標楷體" w:hAnsi="Times New Roman"/>
              </w:rPr>
              <w:t>(ILD)</w:t>
            </w:r>
            <w:r w:rsidRPr="00AB602C">
              <w:rPr>
                <w:rFonts w:ascii="Times New Roman" w:eastAsia="標楷體" w:hAnsi="Times New Roman"/>
              </w:rPr>
              <w:t>的致病機轉有關。</w:t>
            </w:r>
            <w:r>
              <w:rPr>
                <w:rFonts w:ascii="Times New Roman" w:eastAsia="標楷體" w:hAnsi="Times New Roman"/>
              </w:rPr>
              <w:t>Nintedanib</w:t>
            </w:r>
            <w:r w:rsidRPr="00AB602C">
              <w:rPr>
                <w:rFonts w:ascii="Times New Roman" w:eastAsia="標楷體" w:hAnsi="Times New Roman"/>
              </w:rPr>
              <w:t>會競</w:t>
            </w:r>
            <w:r>
              <w:rPr>
                <w:rFonts w:ascii="Times New Roman" w:eastAsia="標楷體" w:hAnsi="Times New Roman"/>
              </w:rPr>
              <w:t>爭性地吸附於上述激酶的三磷酸腺苷</w:t>
            </w:r>
            <w:r>
              <w:rPr>
                <w:rFonts w:ascii="Times New Roman" w:eastAsia="標楷體" w:hAnsi="Times New Roman"/>
              </w:rPr>
              <w:t>(</w:t>
            </w:r>
            <w:r w:rsidRPr="00AB602C">
              <w:rPr>
                <w:rFonts w:ascii="Times New Roman" w:eastAsia="標楷體" w:hAnsi="Times New Roman"/>
              </w:rPr>
              <w:t>ATP</w:t>
            </w:r>
            <w:r>
              <w:rPr>
                <w:rFonts w:ascii="Times New Roman" w:eastAsia="標楷體" w:hAnsi="Times New Roman"/>
              </w:rPr>
              <w:t>)</w:t>
            </w:r>
            <w:r w:rsidRPr="00AB602C">
              <w:rPr>
                <w:rFonts w:ascii="Times New Roman" w:eastAsia="標楷體" w:hAnsi="Times New Roman"/>
              </w:rPr>
              <w:t>結合囊上，阻斷細胞內的訊息傳遞系列步驟，研究顯示其涉及間質性肺病病人之纖維組織重塑的發病機制。此外，</w:t>
            </w:r>
            <w:r w:rsidRPr="00AB602C">
              <w:rPr>
                <w:rFonts w:ascii="Times New Roman" w:eastAsia="標楷體" w:hAnsi="Times New Roman"/>
              </w:rPr>
              <w:t xml:space="preserve">nintedanib </w:t>
            </w:r>
            <w:r w:rsidRPr="00AB602C">
              <w:rPr>
                <w:rFonts w:ascii="Times New Roman" w:eastAsia="標楷體" w:hAnsi="Times New Roman"/>
              </w:rPr>
              <w:t>亦會抑制下列</w:t>
            </w:r>
            <w:r w:rsidRPr="00AB602C">
              <w:rPr>
                <w:rFonts w:ascii="Times New Roman" w:eastAsia="標楷體" w:hAnsi="Times New Roman"/>
              </w:rPr>
              <w:t>nRTK</w:t>
            </w:r>
            <w:r w:rsidRPr="00AB602C">
              <w:rPr>
                <w:rFonts w:ascii="Times New Roman" w:eastAsia="標楷體" w:hAnsi="Times New Roman"/>
              </w:rPr>
              <w:t>：</w:t>
            </w:r>
            <w:r w:rsidRPr="00AB602C">
              <w:rPr>
                <w:rFonts w:ascii="Times New Roman" w:eastAsia="標楷體" w:hAnsi="Times New Roman"/>
              </w:rPr>
              <w:t>Lck</w:t>
            </w:r>
            <w:r w:rsidRPr="00AB602C">
              <w:rPr>
                <w:rFonts w:ascii="Times New Roman" w:eastAsia="標楷體" w:hAnsi="Times New Roman"/>
              </w:rPr>
              <w:t>、</w:t>
            </w:r>
            <w:r>
              <w:rPr>
                <w:rFonts w:ascii="Times New Roman" w:eastAsia="標楷體" w:hAnsi="Times New Roman"/>
              </w:rPr>
              <w:t>Lyn</w:t>
            </w:r>
            <w:r w:rsidRPr="00AB602C">
              <w:rPr>
                <w:rFonts w:ascii="Times New Roman" w:eastAsia="標楷體" w:hAnsi="Times New Roman"/>
              </w:rPr>
              <w:t>與</w:t>
            </w:r>
            <w:r>
              <w:rPr>
                <w:rFonts w:ascii="Times New Roman" w:eastAsia="標楷體" w:hAnsi="Times New Roman"/>
              </w:rPr>
              <w:t>Src</w:t>
            </w:r>
            <w:r w:rsidRPr="00AB602C">
              <w:rPr>
                <w:rFonts w:ascii="Times New Roman" w:eastAsia="標楷體" w:hAnsi="Times New Roman"/>
              </w:rPr>
              <w:t>激酶。</w:t>
            </w:r>
            <w:r>
              <w:rPr>
                <w:rFonts w:ascii="Times New Roman" w:eastAsia="標楷體" w:hAnsi="Times New Roman"/>
              </w:rPr>
              <w:t>FLT3</w:t>
            </w:r>
            <w:r w:rsidRPr="00AB602C">
              <w:rPr>
                <w:rFonts w:ascii="Times New Roman" w:eastAsia="標楷體" w:hAnsi="Times New Roman"/>
              </w:rPr>
              <w:t>和</w:t>
            </w:r>
            <w:r>
              <w:rPr>
                <w:rFonts w:ascii="Times New Roman" w:eastAsia="標楷體" w:hAnsi="Times New Roman"/>
              </w:rPr>
              <w:t>nRTK</w:t>
            </w:r>
            <w:r w:rsidRPr="00AB602C">
              <w:rPr>
                <w:rFonts w:ascii="Times New Roman" w:eastAsia="標楷體" w:hAnsi="Times New Roman"/>
              </w:rPr>
              <w:t>抑制作用對於</w:t>
            </w:r>
            <w:r>
              <w:rPr>
                <w:rFonts w:ascii="Times New Roman" w:eastAsia="標楷體" w:hAnsi="Times New Roman"/>
              </w:rPr>
              <w:t>nintedanib</w:t>
            </w:r>
            <w:r w:rsidRPr="00AB602C">
              <w:rPr>
                <w:rFonts w:ascii="Times New Roman" w:eastAsia="標楷體" w:hAnsi="Times New Roman"/>
              </w:rPr>
              <w:t>在</w:t>
            </w:r>
            <w:r>
              <w:rPr>
                <w:rFonts w:ascii="Times New Roman" w:eastAsia="標楷體" w:hAnsi="Times New Roman"/>
              </w:rPr>
              <w:t>ILD</w:t>
            </w:r>
            <w:r>
              <w:rPr>
                <w:rFonts w:ascii="Times New Roman" w:eastAsia="標楷體" w:hAnsi="Times New Roman"/>
              </w:rPr>
              <w:t>的療效貢獻度不明</w:t>
            </w:r>
            <w:r w:rsidRPr="00AB602C">
              <w:rPr>
                <w:rFonts w:ascii="Times New Roman" w:eastAsia="標楷體" w:hAnsi="Times New Roman" w:hint="eastAsia"/>
              </w:rPr>
              <w:t>。</w:t>
            </w:r>
          </w:p>
        </w:tc>
      </w:tr>
      <w:tr w:rsidR="00DF2AEC" w:rsidRPr="00AB602C" w:rsidTr="00E1272F">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9D69A8" w:rsidRDefault="00DF2AEC" w:rsidP="003555E5">
            <w:pPr>
              <w:pStyle w:val="a9"/>
              <w:widowControl/>
              <w:numPr>
                <w:ilvl w:val="0"/>
                <w:numId w:val="10"/>
              </w:numPr>
              <w:ind w:leftChars="0"/>
              <w:rPr>
                <w:rFonts w:ascii="Times New Roman" w:eastAsia="標楷體" w:hAnsi="Times New Roman"/>
              </w:rPr>
            </w:pPr>
            <w:r w:rsidRPr="00AB602C">
              <w:rPr>
                <w:rFonts w:ascii="Times New Roman" w:eastAsia="標楷體" w:hAnsi="Times New Roman"/>
              </w:rPr>
              <w:t>適用於治療特發性肺纖維化</w:t>
            </w:r>
            <w:r w:rsidRPr="00AB602C">
              <w:rPr>
                <w:rFonts w:ascii="Times New Roman" w:eastAsia="標楷體" w:hAnsi="Times New Roman"/>
              </w:rPr>
              <w:t>(IPF)</w:t>
            </w:r>
            <w:r w:rsidRPr="00AB602C">
              <w:rPr>
                <w:rFonts w:ascii="Times New Roman" w:eastAsia="標楷體" w:hAnsi="Times New Roman" w:hint="eastAsia"/>
              </w:rPr>
              <w:t>。</w:t>
            </w:r>
          </w:p>
          <w:p w:rsidR="00DF2AEC" w:rsidRPr="00AB602C" w:rsidRDefault="00DF2AEC" w:rsidP="003555E5">
            <w:pPr>
              <w:pStyle w:val="a9"/>
              <w:widowControl/>
              <w:numPr>
                <w:ilvl w:val="0"/>
                <w:numId w:val="10"/>
              </w:numPr>
              <w:ind w:leftChars="0"/>
              <w:rPr>
                <w:rFonts w:ascii="Times New Roman" w:eastAsia="標楷體" w:hAnsi="Times New Roman"/>
              </w:rPr>
            </w:pPr>
            <w:r w:rsidRPr="00AB602C">
              <w:rPr>
                <w:rFonts w:ascii="Times New Roman" w:eastAsia="標楷體" w:hAnsi="Times New Roman"/>
              </w:rPr>
              <w:t>與全身性硬化症有關之間質性肺病</w:t>
            </w:r>
            <w:r>
              <w:rPr>
                <w:rFonts w:ascii="Times New Roman" w:eastAsia="標楷體" w:hAnsi="Times New Roman" w:hint="eastAsia"/>
              </w:rPr>
              <w:t>：</w:t>
            </w:r>
            <w:r w:rsidRPr="00AB602C">
              <w:rPr>
                <w:rFonts w:ascii="Times New Roman" w:eastAsia="標楷體" w:hAnsi="Times New Roman" w:hint="eastAsia"/>
              </w:rPr>
              <w:t>Nintedanib</w:t>
            </w:r>
            <w:r w:rsidRPr="00AB602C">
              <w:rPr>
                <w:rFonts w:ascii="Times New Roman" w:eastAsia="標楷體" w:hAnsi="Times New Roman"/>
              </w:rPr>
              <w:t>適用於減緩與全身性硬化症有關之間質性肺病</w:t>
            </w:r>
            <w:r w:rsidRPr="00AB602C">
              <w:rPr>
                <w:rFonts w:ascii="Times New Roman" w:eastAsia="標楷體" w:hAnsi="Times New Roman" w:hint="eastAsia"/>
              </w:rPr>
              <w:t>(</w:t>
            </w:r>
            <w:r w:rsidRPr="00AB602C">
              <w:rPr>
                <w:rFonts w:ascii="Times New Roman" w:eastAsia="標楷體" w:hAnsi="Times New Roman"/>
              </w:rPr>
              <w:t>SSc-ILD</w:t>
            </w:r>
            <w:r w:rsidRPr="00AB602C">
              <w:rPr>
                <w:rFonts w:ascii="Times New Roman" w:eastAsia="標楷體" w:hAnsi="Times New Roman" w:hint="eastAsia"/>
              </w:rPr>
              <w:t>)</w:t>
            </w:r>
            <w:r w:rsidRPr="00AB602C">
              <w:rPr>
                <w:rFonts w:ascii="Times New Roman" w:eastAsia="標楷體" w:hAnsi="Times New Roman"/>
              </w:rPr>
              <w:t>病人的肺功能下降速度。</w:t>
            </w:r>
          </w:p>
        </w:tc>
      </w:tr>
      <w:tr w:rsidR="00DF2AEC" w:rsidRPr="0001660E" w:rsidTr="00E1272F">
        <w:tc>
          <w:tcPr>
            <w:tcW w:w="15452" w:type="dxa"/>
            <w:gridSpan w:val="2"/>
            <w:tcBorders>
              <w:left w:val="nil"/>
              <w:right w:val="nil"/>
            </w:tcBorders>
          </w:tcPr>
          <w:p w:rsidR="00DF2AEC" w:rsidRPr="0001660E" w:rsidRDefault="00DF2AEC" w:rsidP="003555E5">
            <w:pPr>
              <w:pStyle w:val="a9"/>
              <w:widowControl/>
              <w:numPr>
                <w:ilvl w:val="0"/>
                <w:numId w:val="6"/>
              </w:numPr>
              <w:ind w:leftChars="0"/>
              <w:rPr>
                <w:rFonts w:ascii="Times New Roman" w:eastAsia="標楷體" w:hAnsi="Times New Roman"/>
                <w:b/>
              </w:rPr>
            </w:pPr>
            <w:r w:rsidRPr="0001660E">
              <w:rPr>
                <w:rFonts w:ascii="Times New Roman" w:eastAsia="標楷體"/>
                <w:b/>
                <w:bCs/>
                <w:color w:val="000000" w:themeColor="text1"/>
                <w:kern w:val="36"/>
                <w:lang w:bidi="hi-IN"/>
              </w:rPr>
              <w:t>Aflibercept</w:t>
            </w:r>
          </w:p>
        </w:tc>
      </w:tr>
      <w:tr w:rsidR="00DF2AEC" w:rsidRPr="00386048" w:rsidTr="00E1272F">
        <w:tc>
          <w:tcPr>
            <w:tcW w:w="970" w:type="dxa"/>
            <w:vAlign w:val="center"/>
          </w:tcPr>
          <w:p w:rsidR="00DF2AEC" w:rsidRPr="00386048" w:rsidRDefault="00DF2AEC" w:rsidP="00E1272F">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DF2AEC" w:rsidRPr="00386048" w:rsidRDefault="00DF2AEC" w:rsidP="00E1272F">
            <w:pPr>
              <w:widowControl/>
              <w:rPr>
                <w:rFonts w:ascii="Times New Roman" w:eastAsia="標楷體" w:hAnsi="Times New Roman"/>
              </w:rPr>
            </w:pPr>
            <w:r w:rsidRPr="00134E88">
              <w:rPr>
                <w:rFonts w:ascii="Times New Roman" w:eastAsia="標楷體" w:hAnsi="Times New Roman"/>
              </w:rPr>
              <w:t>Aflibercept</w:t>
            </w:r>
            <w:r w:rsidRPr="00134E88">
              <w:rPr>
                <w:rFonts w:ascii="Times New Roman" w:eastAsia="標楷體" w:hAnsi="Times New Roman"/>
              </w:rPr>
              <w:t>可與人類血管內皮生長因子</w:t>
            </w:r>
            <w:r w:rsidRPr="00134E88">
              <w:rPr>
                <w:rFonts w:ascii="Times New Roman" w:eastAsia="標楷體" w:hAnsi="Times New Roman"/>
              </w:rPr>
              <w:t>A</w:t>
            </w:r>
            <w:r w:rsidRPr="00134E88">
              <w:rPr>
                <w:rFonts w:ascii="Times New Roman" w:eastAsia="標楷體" w:hAnsi="Times New Roman"/>
              </w:rPr>
              <w:t>（</w:t>
            </w:r>
            <w:r w:rsidRPr="00134E88">
              <w:rPr>
                <w:rFonts w:ascii="Times New Roman" w:eastAsia="標楷體" w:hAnsi="Times New Roman"/>
              </w:rPr>
              <w:t>VEGF-A</w:t>
            </w:r>
            <w:r w:rsidRPr="00134E88">
              <w:rPr>
                <w:rFonts w:ascii="Times New Roman" w:eastAsia="標楷體" w:hAnsi="Times New Roman"/>
              </w:rPr>
              <w:t>）、人類血管內皮生長因子</w:t>
            </w:r>
            <w:r w:rsidRPr="00134E88">
              <w:rPr>
                <w:rFonts w:ascii="Times New Roman" w:eastAsia="標楷體" w:hAnsi="Times New Roman"/>
              </w:rPr>
              <w:t xml:space="preserve"> B</w:t>
            </w:r>
            <w:r w:rsidRPr="00134E88">
              <w:rPr>
                <w:rFonts w:ascii="Times New Roman" w:eastAsia="標楷體" w:hAnsi="Times New Roman"/>
              </w:rPr>
              <w:t>（</w:t>
            </w:r>
            <w:r w:rsidRPr="00134E88">
              <w:rPr>
                <w:rFonts w:ascii="Times New Roman" w:eastAsia="標楷體" w:hAnsi="Times New Roman"/>
              </w:rPr>
              <w:t>VEGF-B</w:t>
            </w:r>
            <w:r w:rsidRPr="00134E88">
              <w:rPr>
                <w:rFonts w:ascii="Times New Roman" w:eastAsia="標楷體" w:hAnsi="Times New Roman"/>
              </w:rPr>
              <w:t>）及人類胎盤生長因子（</w:t>
            </w:r>
            <w:r w:rsidRPr="00134E88">
              <w:rPr>
                <w:rFonts w:ascii="Times New Roman" w:eastAsia="標楷體" w:hAnsi="Times New Roman"/>
              </w:rPr>
              <w:t>PlGF</w:t>
            </w:r>
            <w:r w:rsidRPr="00134E88">
              <w:rPr>
                <w:rFonts w:ascii="Times New Roman" w:eastAsia="標楷體" w:hAnsi="Times New Roman"/>
              </w:rPr>
              <w:t>）鍵結。藉由</w:t>
            </w:r>
            <w:r>
              <w:rPr>
                <w:rFonts w:ascii="Times New Roman" w:eastAsia="標楷體" w:hAnsi="Times New Roman"/>
              </w:rPr>
              <w:t>與這些內生性配體</w:t>
            </w:r>
            <w:r>
              <w:rPr>
                <w:rFonts w:ascii="Times New Roman" w:eastAsia="標楷體" w:hAnsi="Times New Roman" w:hint="eastAsia"/>
              </w:rPr>
              <w:t>(</w:t>
            </w:r>
            <w:r w:rsidRPr="00134E88">
              <w:rPr>
                <w:rFonts w:ascii="Times New Roman" w:eastAsia="標楷體" w:hAnsi="Times New Roman"/>
              </w:rPr>
              <w:t>endogenous ligands</w:t>
            </w:r>
            <w:r>
              <w:rPr>
                <w:rFonts w:ascii="Times New Roman" w:eastAsia="標楷體" w:hAnsi="Times New Roman" w:hint="eastAsia"/>
              </w:rPr>
              <w:t>)</w:t>
            </w:r>
            <w:r w:rsidRPr="00134E88">
              <w:rPr>
                <w:rFonts w:ascii="Times New Roman" w:eastAsia="標楷體" w:hAnsi="Times New Roman"/>
              </w:rPr>
              <w:t>的鍵結，</w:t>
            </w:r>
            <w:r>
              <w:rPr>
                <w:rFonts w:ascii="Times New Roman" w:eastAsia="標楷體" w:hAnsi="Times New Roman"/>
              </w:rPr>
              <w:t>aflibercept</w:t>
            </w:r>
            <w:r w:rsidRPr="00134E88">
              <w:rPr>
                <w:rFonts w:ascii="Times New Roman" w:eastAsia="標楷體" w:hAnsi="Times New Roman"/>
              </w:rPr>
              <w:t>可抑制其同源受體的鍵結及活化。這種抑制作用會減少新血管的形成並降低血管的通透性。從動物試驗的結果可看出，</w:t>
            </w:r>
            <w:r w:rsidRPr="00134E88">
              <w:rPr>
                <w:rFonts w:ascii="Times New Roman" w:eastAsia="標楷體" w:hAnsi="Times New Roman"/>
              </w:rPr>
              <w:t>aflibercept</w:t>
            </w:r>
            <w:r w:rsidRPr="00134E88">
              <w:rPr>
                <w:rFonts w:ascii="Times New Roman" w:eastAsia="標楷體" w:hAnsi="Times New Roman"/>
              </w:rPr>
              <w:t>會抑制內皮細胞</w:t>
            </w:r>
            <w:r>
              <w:rPr>
                <w:rFonts w:ascii="Times New Roman" w:eastAsia="標楷體" w:hAnsi="Times New Roman"/>
              </w:rPr>
              <w:t>的增生，因此</w:t>
            </w:r>
            <w:r w:rsidRPr="00134E88">
              <w:rPr>
                <w:rFonts w:ascii="Times New Roman" w:eastAsia="標楷體" w:hAnsi="Times New Roman"/>
              </w:rPr>
              <w:t>抑制新血管的生長。</w:t>
            </w:r>
            <w:r>
              <w:rPr>
                <w:rFonts w:ascii="Times New Roman" w:eastAsia="標楷體" w:hAnsi="Times New Roman" w:hint="eastAsia"/>
              </w:rPr>
              <w:t>A</w:t>
            </w:r>
            <w:r>
              <w:rPr>
                <w:rFonts w:ascii="Times New Roman" w:eastAsia="標楷體" w:hAnsi="Times New Roman"/>
              </w:rPr>
              <w:t>flibercept</w:t>
            </w:r>
            <w:r w:rsidRPr="00134E88">
              <w:rPr>
                <w:rFonts w:ascii="Times New Roman" w:eastAsia="標楷體" w:hAnsi="Times New Roman"/>
              </w:rPr>
              <w:t>對小鼠異種移植之結腸腫瘤有抑制生長作用。</w:t>
            </w:r>
          </w:p>
        </w:tc>
      </w:tr>
      <w:tr w:rsidR="00DF2AEC" w:rsidRPr="00090A77" w:rsidTr="00E1272F">
        <w:tc>
          <w:tcPr>
            <w:tcW w:w="970" w:type="dxa"/>
            <w:tcBorders>
              <w:bottom w:val="single" w:sz="4" w:space="0" w:color="auto"/>
            </w:tcBorders>
            <w:vAlign w:val="center"/>
          </w:tcPr>
          <w:p w:rsidR="00DF2AEC" w:rsidRPr="00386048" w:rsidRDefault="00DF2AEC" w:rsidP="00E1272F">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DF2AEC" w:rsidRPr="00090A77" w:rsidRDefault="00DF2AEC" w:rsidP="00E1272F">
            <w:pPr>
              <w:widowControl/>
              <w:tabs>
                <w:tab w:val="left" w:pos="3255"/>
              </w:tabs>
              <w:rPr>
                <w:rFonts w:ascii="Times New Roman" w:eastAsia="標楷體" w:hAnsi="Times New Roman"/>
              </w:rPr>
            </w:pPr>
            <w:r w:rsidRPr="00090A77">
              <w:rPr>
                <w:rFonts w:ascii="Times New Roman" w:eastAsia="標楷體" w:hAnsi="Times New Roman"/>
              </w:rPr>
              <w:t>轉移性大腸直腸癌</w:t>
            </w:r>
            <w:r>
              <w:rPr>
                <w:rFonts w:ascii="Times New Roman" w:eastAsia="標楷體" w:hAnsi="Times New Roman" w:hint="eastAsia"/>
              </w:rPr>
              <w:t>：</w:t>
            </w:r>
            <w:r w:rsidRPr="00090A77">
              <w:rPr>
                <w:rFonts w:ascii="Times New Roman" w:eastAsia="標楷體" w:hAnsi="Times New Roman"/>
              </w:rPr>
              <w:t>與</w:t>
            </w:r>
            <w:r w:rsidRPr="00090A77">
              <w:rPr>
                <w:rFonts w:ascii="Times New Roman" w:eastAsia="標楷體" w:hAnsi="Times New Roman"/>
              </w:rPr>
              <w:t>5-fluorouracil</w:t>
            </w:r>
            <w:r w:rsidRPr="00090A77">
              <w:rPr>
                <w:rFonts w:ascii="Times New Roman" w:eastAsia="標楷體" w:hAnsi="Times New Roman"/>
              </w:rPr>
              <w:t>、</w:t>
            </w:r>
            <w:r w:rsidRPr="00090A77">
              <w:rPr>
                <w:rFonts w:ascii="Times New Roman" w:eastAsia="標楷體" w:hAnsi="Times New Roman"/>
              </w:rPr>
              <w:t>leucovorin</w:t>
            </w:r>
            <w:r w:rsidRPr="00090A77">
              <w:rPr>
                <w:rFonts w:ascii="Times New Roman" w:eastAsia="標楷體" w:hAnsi="Times New Roman"/>
              </w:rPr>
              <w:t>、</w:t>
            </w:r>
            <w:r w:rsidRPr="00090A77">
              <w:rPr>
                <w:rFonts w:ascii="Times New Roman" w:eastAsia="標楷體" w:hAnsi="Times New Roman"/>
              </w:rPr>
              <w:t xml:space="preserve">irinotecan-(FOLFIRI) </w:t>
            </w:r>
            <w:r w:rsidRPr="00090A77">
              <w:rPr>
                <w:rFonts w:ascii="Times New Roman" w:eastAsia="標楷體" w:hAnsi="Times New Roman"/>
              </w:rPr>
              <w:t>合併使用，治療已使用含有</w:t>
            </w:r>
            <w:r w:rsidRPr="00090A77">
              <w:rPr>
                <w:rFonts w:ascii="Times New Roman" w:eastAsia="標楷體" w:hAnsi="Times New Roman"/>
              </w:rPr>
              <w:t>oxaliplatin</w:t>
            </w:r>
            <w:r w:rsidRPr="00090A77">
              <w:rPr>
                <w:rFonts w:ascii="Times New Roman" w:eastAsia="標楷體" w:hAnsi="Times New Roman"/>
              </w:rPr>
              <w:t>化學療法無效或惡化之轉移性大腸直腸癌病人。</w:t>
            </w:r>
          </w:p>
        </w:tc>
      </w:tr>
      <w:tr w:rsidR="0077391B" w:rsidRPr="0001660E" w:rsidTr="00E1272F">
        <w:tc>
          <w:tcPr>
            <w:tcW w:w="15452" w:type="dxa"/>
            <w:gridSpan w:val="2"/>
            <w:tcBorders>
              <w:top w:val="nil"/>
              <w:left w:val="nil"/>
              <w:right w:val="nil"/>
            </w:tcBorders>
          </w:tcPr>
          <w:p w:rsidR="0077391B" w:rsidRPr="0001660E" w:rsidRDefault="0077391B" w:rsidP="003555E5">
            <w:pPr>
              <w:pStyle w:val="a9"/>
              <w:widowControl/>
              <w:numPr>
                <w:ilvl w:val="0"/>
                <w:numId w:val="6"/>
              </w:numPr>
              <w:ind w:leftChars="0"/>
              <w:rPr>
                <w:rFonts w:ascii="Times New Roman" w:eastAsia="標楷體" w:hAnsi="Times New Roman"/>
                <w:b/>
                <w:color w:val="000000" w:themeColor="text1"/>
                <w:szCs w:val="24"/>
              </w:rPr>
            </w:pPr>
            <w:r w:rsidRPr="00F87693">
              <w:rPr>
                <w:rFonts w:ascii="Times New Roman" w:eastAsia="標楷體"/>
                <w:b/>
                <w:bCs/>
                <w:color w:val="000000" w:themeColor="text1"/>
                <w:kern w:val="36"/>
                <w:lang w:bidi="hi-IN"/>
              </w:rPr>
              <w:t>Bevacizumab</w:t>
            </w:r>
          </w:p>
        </w:tc>
      </w:tr>
      <w:tr w:rsidR="0077391B" w:rsidRPr="00386048" w:rsidTr="00E1272F">
        <w:tc>
          <w:tcPr>
            <w:tcW w:w="970" w:type="dxa"/>
            <w:vAlign w:val="center"/>
          </w:tcPr>
          <w:p w:rsidR="0077391B" w:rsidRPr="00386048" w:rsidRDefault="0077391B" w:rsidP="0077391B">
            <w:pPr>
              <w:widowControl/>
              <w:jc w:val="both"/>
              <w:rPr>
                <w:rFonts w:ascii="Times New Roman" w:eastAsia="標楷體" w:hAnsi="Times New Roman"/>
                <w:color w:val="000000" w:themeColor="text1"/>
                <w:szCs w:val="24"/>
              </w:rPr>
            </w:pPr>
            <w:r w:rsidRPr="00386048">
              <w:rPr>
                <w:rFonts w:ascii="Times New Roman" w:eastAsia="標楷體" w:hAnsi="Times New Roman"/>
                <w:color w:val="000000" w:themeColor="text1"/>
                <w:szCs w:val="24"/>
              </w:rPr>
              <w:t>機轉</w:t>
            </w:r>
          </w:p>
        </w:tc>
        <w:tc>
          <w:tcPr>
            <w:tcW w:w="14482" w:type="dxa"/>
          </w:tcPr>
          <w:p w:rsidR="0077391B" w:rsidRPr="002265C2" w:rsidRDefault="0077391B" w:rsidP="0077391B">
            <w:pPr>
              <w:widowControl/>
              <w:rPr>
                <w:rFonts w:ascii="Times New Roman" w:eastAsia="標楷體" w:hAnsi="Times New Roman"/>
              </w:rPr>
            </w:pPr>
            <w:r>
              <w:rPr>
                <w:rFonts w:ascii="Times New Roman" w:eastAsia="標楷體" w:hAnsi="Times New Roman"/>
              </w:rPr>
              <w:t>Bevacizumab</w:t>
            </w:r>
            <w:r w:rsidRPr="002265C2">
              <w:rPr>
                <w:rFonts w:ascii="Times New Roman" w:eastAsia="標楷體" w:hAnsi="Times New Roman"/>
              </w:rPr>
              <w:t>是一種重組的人化單株抗體，可選擇性地結合至人類血管內皮生長因子</w:t>
            </w:r>
            <w:r w:rsidRPr="002265C2">
              <w:rPr>
                <w:rFonts w:ascii="Times New Roman" w:eastAsia="標楷體" w:hAnsi="Times New Roman"/>
              </w:rPr>
              <w:t>(VEGF)</w:t>
            </w:r>
            <w:r w:rsidRPr="002265C2">
              <w:rPr>
                <w:rFonts w:ascii="Times New Roman" w:eastAsia="標楷體" w:hAnsi="Times New Roman"/>
              </w:rPr>
              <w:t>並中和其生物活性。</w:t>
            </w:r>
            <w:r w:rsidRPr="002265C2">
              <w:rPr>
                <w:rFonts w:ascii="Times New Roman" w:eastAsia="標楷體" w:hAnsi="Times New Roman"/>
              </w:rPr>
              <w:t>Bevacizumab</w:t>
            </w:r>
            <w:r w:rsidRPr="002265C2">
              <w:rPr>
                <w:rFonts w:ascii="Times New Roman" w:eastAsia="標楷體" w:hAnsi="Times New Roman"/>
              </w:rPr>
              <w:t>會抑制</w:t>
            </w:r>
            <w:r w:rsidRPr="002265C2">
              <w:rPr>
                <w:rFonts w:ascii="Times New Roman" w:eastAsia="標楷體" w:hAnsi="Times New Roman"/>
              </w:rPr>
              <w:t>VEGF</w:t>
            </w:r>
            <w:r w:rsidRPr="002265C2">
              <w:rPr>
                <w:rFonts w:ascii="Times New Roman" w:eastAsia="標楷體" w:hAnsi="Times New Roman"/>
              </w:rPr>
              <w:t>與位於內皮細胞表面上的受體</w:t>
            </w:r>
            <w:r w:rsidRPr="002265C2">
              <w:rPr>
                <w:rFonts w:ascii="Times New Roman" w:eastAsia="標楷體" w:hAnsi="Times New Roman"/>
              </w:rPr>
              <w:t>Flt-1</w:t>
            </w:r>
            <w:r w:rsidRPr="002265C2">
              <w:rPr>
                <w:rFonts w:ascii="Times New Roman" w:eastAsia="標楷體" w:hAnsi="Times New Roman"/>
              </w:rPr>
              <w:t>及</w:t>
            </w:r>
            <w:r w:rsidRPr="002265C2">
              <w:rPr>
                <w:rFonts w:ascii="Times New Roman" w:eastAsia="標楷體" w:hAnsi="Times New Roman"/>
              </w:rPr>
              <w:t>KDR</w:t>
            </w:r>
            <w:r w:rsidRPr="002265C2">
              <w:rPr>
                <w:rFonts w:ascii="Times New Roman" w:eastAsia="標楷體" w:hAnsi="Times New Roman"/>
              </w:rPr>
              <w:t>結合，中和</w:t>
            </w:r>
            <w:r w:rsidRPr="002265C2">
              <w:rPr>
                <w:rFonts w:ascii="Times New Roman" w:eastAsia="標楷體" w:hAnsi="Times New Roman"/>
              </w:rPr>
              <w:t>VEGF</w:t>
            </w:r>
            <w:r w:rsidRPr="002265C2">
              <w:rPr>
                <w:rFonts w:ascii="Times New Roman" w:eastAsia="標楷體" w:hAnsi="Times New Roman"/>
              </w:rPr>
              <w:t>的生物活性而降低腫瘤的血管形成，藉此抑制腫瘤的生長。由罹患癌症裸鼠的異種移植癌症模式在投予</w:t>
            </w:r>
            <w:r w:rsidRPr="002265C2">
              <w:rPr>
                <w:rFonts w:ascii="Times New Roman" w:eastAsia="標楷體" w:hAnsi="Times New Roman"/>
              </w:rPr>
              <w:t>bevacizumab</w:t>
            </w:r>
            <w:r w:rsidRPr="002265C2">
              <w:rPr>
                <w:rFonts w:ascii="Times New Roman" w:eastAsia="標楷體" w:hAnsi="Times New Roman"/>
              </w:rPr>
              <w:t>或其母鼠抗體治療之結果可得知其對人類的癌症包括大腸癌、乳癌、胰臟癌及前列腺癌等</w:t>
            </w:r>
            <w:r>
              <w:rPr>
                <w:rFonts w:ascii="Times New Roman" w:eastAsia="標楷體" w:hAnsi="Times New Roman" w:hint="eastAsia"/>
              </w:rPr>
              <w:t>具</w:t>
            </w:r>
            <w:r w:rsidRPr="002265C2">
              <w:rPr>
                <w:rFonts w:ascii="Times New Roman" w:eastAsia="標楷體" w:hAnsi="Times New Roman"/>
              </w:rPr>
              <w:t>廣泛的抗腫瘤活性，</w:t>
            </w:r>
            <w:r>
              <w:rPr>
                <w:rFonts w:ascii="Times New Roman" w:eastAsia="標楷體" w:hAnsi="Times New Roman" w:hint="eastAsia"/>
              </w:rPr>
              <w:t>且能抑制</w:t>
            </w:r>
            <w:r w:rsidRPr="002265C2">
              <w:rPr>
                <w:rFonts w:ascii="Times New Roman" w:eastAsia="標楷體" w:hAnsi="Times New Roman"/>
              </w:rPr>
              <w:t>轉移性疾病的進行</w:t>
            </w:r>
            <w:r>
              <w:rPr>
                <w:rFonts w:ascii="Times New Roman" w:eastAsia="標楷體" w:hAnsi="Times New Roman" w:hint="eastAsia"/>
              </w:rPr>
              <w:t>並降低</w:t>
            </w:r>
            <w:r w:rsidRPr="002265C2">
              <w:rPr>
                <w:rFonts w:ascii="Times New Roman" w:eastAsia="標楷體" w:hAnsi="Times New Roman"/>
              </w:rPr>
              <w:t>微血管的通透性。</w:t>
            </w:r>
          </w:p>
        </w:tc>
      </w:tr>
      <w:tr w:rsidR="0077391B" w:rsidRPr="0058462B" w:rsidTr="00E1272F">
        <w:tc>
          <w:tcPr>
            <w:tcW w:w="970" w:type="dxa"/>
            <w:tcBorders>
              <w:bottom w:val="single" w:sz="4" w:space="0" w:color="auto"/>
            </w:tcBorders>
            <w:vAlign w:val="center"/>
          </w:tcPr>
          <w:p w:rsidR="0077391B" w:rsidRPr="00386048" w:rsidRDefault="0077391B" w:rsidP="0077391B">
            <w:pPr>
              <w:widowControl/>
              <w:jc w:val="both"/>
              <w:rPr>
                <w:rFonts w:ascii="Times New Roman" w:eastAsia="標楷體" w:hAnsi="Times New Roman"/>
              </w:rPr>
            </w:pPr>
            <w:r w:rsidRPr="00386048">
              <w:rPr>
                <w:rFonts w:ascii="Times New Roman" w:eastAsia="標楷體" w:hAnsi="Times New Roman"/>
              </w:rPr>
              <w:t>適應症</w:t>
            </w:r>
          </w:p>
        </w:tc>
        <w:tc>
          <w:tcPr>
            <w:tcW w:w="14482" w:type="dxa"/>
            <w:tcBorders>
              <w:bottom w:val="single" w:sz="4" w:space="0" w:color="auto"/>
            </w:tcBorders>
          </w:tcPr>
          <w:p w:rsidR="0077391B"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t>轉移性大腸直腸癌</w:t>
            </w:r>
            <w:r w:rsidRPr="00AA2ED0">
              <w:rPr>
                <w:rFonts w:ascii="Times New Roman" w:eastAsia="標楷體" w:hAnsi="Times New Roman"/>
              </w:rPr>
              <w:t xml:space="preserve"> (mCRC)</w:t>
            </w:r>
            <w:r>
              <w:rPr>
                <w:rFonts w:ascii="Times New Roman" w:eastAsia="標楷體" w:hAnsi="Times New Roman" w:hint="eastAsia"/>
              </w:rPr>
              <w:t>：</w:t>
            </w:r>
          </w:p>
          <w:p w:rsidR="0077391B" w:rsidRPr="00AA2ED0" w:rsidRDefault="0077391B" w:rsidP="003555E5">
            <w:pPr>
              <w:pStyle w:val="a9"/>
              <w:widowControl/>
              <w:numPr>
                <w:ilvl w:val="0"/>
                <w:numId w:val="17"/>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與含有</w:t>
            </w:r>
            <w:r w:rsidRPr="00AA2ED0">
              <w:rPr>
                <w:rFonts w:ascii="Times New Roman" w:eastAsia="標楷體" w:hAnsi="Times New Roman"/>
              </w:rPr>
              <w:t>5-fluorouracil</w:t>
            </w:r>
            <w:r w:rsidRPr="00AA2ED0">
              <w:rPr>
                <w:rFonts w:ascii="Times New Roman" w:eastAsia="標楷體" w:hAnsi="Times New Roman"/>
              </w:rPr>
              <w:t>為基礎的化學療法合併使用，可以作為轉移性大腸或直腸癌病人的第一線治療。</w:t>
            </w:r>
          </w:p>
          <w:p w:rsidR="0077391B" w:rsidRPr="00AA2ED0" w:rsidRDefault="0077391B" w:rsidP="003555E5">
            <w:pPr>
              <w:pStyle w:val="a9"/>
              <w:widowControl/>
              <w:numPr>
                <w:ilvl w:val="0"/>
                <w:numId w:val="17"/>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與含有</w:t>
            </w:r>
            <w:r w:rsidRPr="00AA2ED0">
              <w:rPr>
                <w:rFonts w:ascii="Times New Roman" w:eastAsia="標楷體" w:hAnsi="Times New Roman"/>
              </w:rPr>
              <w:t>5-fluorouracil/leucovorin/oxaliplatin</w:t>
            </w:r>
            <w:r w:rsidRPr="00AA2ED0">
              <w:rPr>
                <w:rFonts w:ascii="Times New Roman" w:eastAsia="標楷體" w:hAnsi="Times New Roman"/>
              </w:rPr>
              <w:t>的化學療法合併使用，可以作為先前接受過以</w:t>
            </w:r>
            <w:r w:rsidRPr="00AA2ED0">
              <w:rPr>
                <w:rFonts w:ascii="Times New Roman" w:eastAsia="標楷體" w:hAnsi="Times New Roman"/>
              </w:rPr>
              <w:t>fluoropyrimidine</w:t>
            </w:r>
            <w:r w:rsidRPr="00AA2ED0">
              <w:rPr>
                <w:rFonts w:ascii="Times New Roman" w:eastAsia="標楷體" w:hAnsi="Times New Roman"/>
              </w:rPr>
              <w:t>為基礎的化學療法無效且未曾接受過</w:t>
            </w:r>
            <w:r w:rsidRPr="00AA2ED0">
              <w:rPr>
                <w:rFonts w:ascii="Times New Roman" w:eastAsia="標楷體" w:hAnsi="Times New Roman"/>
              </w:rPr>
              <w:t>bevacizumab</w:t>
            </w:r>
            <w:r w:rsidRPr="00AA2ED0">
              <w:rPr>
                <w:rFonts w:ascii="Times New Roman" w:eastAsia="標楷體" w:hAnsi="Times New Roman"/>
              </w:rPr>
              <w:t>治療的轉移性大腸或直腸癌病人的治療。</w:t>
            </w:r>
          </w:p>
          <w:p w:rsidR="0077391B" w:rsidRPr="00AA2ED0" w:rsidRDefault="0077391B" w:rsidP="003555E5">
            <w:pPr>
              <w:pStyle w:val="a9"/>
              <w:widowControl/>
              <w:numPr>
                <w:ilvl w:val="0"/>
                <w:numId w:val="17"/>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與含有</w:t>
            </w:r>
            <w:r w:rsidRPr="00AA2ED0">
              <w:rPr>
                <w:rFonts w:ascii="Times New Roman" w:eastAsia="標楷體" w:hAnsi="Times New Roman"/>
              </w:rPr>
              <w:t>fluoropyrimidine-irinotecan-</w:t>
            </w:r>
            <w:r w:rsidRPr="00AA2ED0">
              <w:rPr>
                <w:rFonts w:ascii="Times New Roman" w:eastAsia="標楷體" w:hAnsi="Times New Roman"/>
              </w:rPr>
              <w:t>或</w:t>
            </w:r>
            <w:r w:rsidRPr="00AA2ED0">
              <w:rPr>
                <w:rFonts w:ascii="Times New Roman" w:eastAsia="標楷體" w:hAnsi="Times New Roman"/>
              </w:rPr>
              <w:t>fluoropyrimidineoxaliplatin-</w:t>
            </w:r>
            <w:r w:rsidRPr="00AA2ED0">
              <w:rPr>
                <w:rFonts w:ascii="Times New Roman" w:eastAsia="標楷體" w:hAnsi="Times New Roman"/>
              </w:rPr>
              <w:t>為基礎的化學療法合併使用，可以做為第一線已接受過以</w:t>
            </w:r>
            <w:r w:rsidRPr="00AA2ED0">
              <w:rPr>
                <w:rFonts w:ascii="Times New Roman" w:eastAsia="標楷體" w:hAnsi="Times New Roman"/>
              </w:rPr>
              <w:t>bevacizumab</w:t>
            </w:r>
            <w:r w:rsidRPr="00AA2ED0">
              <w:rPr>
                <w:rFonts w:ascii="Times New Roman" w:eastAsia="標楷體" w:hAnsi="Times New Roman"/>
              </w:rPr>
              <w:t>併用化療後惡化之轉移性大腸或直腸癌病人的第二線治療。</w:t>
            </w:r>
          </w:p>
          <w:p w:rsidR="0077391B"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t>轉移性乳癌</w:t>
            </w:r>
            <w:r w:rsidRPr="00AA2ED0">
              <w:rPr>
                <w:rFonts w:ascii="Times New Roman" w:eastAsia="標楷體" w:hAnsi="Times New Roman"/>
              </w:rPr>
              <w:t>(mBC)</w:t>
            </w:r>
            <w:r>
              <w:rPr>
                <w:rFonts w:ascii="Times New Roman" w:eastAsia="標楷體" w:hAnsi="Times New Roman" w:hint="eastAsia"/>
              </w:rPr>
              <w:t>：</w:t>
            </w: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paclitaxel</w:t>
            </w:r>
            <w:r w:rsidRPr="00AA2ED0">
              <w:rPr>
                <w:rFonts w:ascii="Times New Roman" w:eastAsia="標楷體" w:hAnsi="Times New Roman"/>
              </w:rPr>
              <w:t>合併使用，可以做為</w:t>
            </w:r>
            <w:r w:rsidRPr="00AA2ED0">
              <w:rPr>
                <w:rFonts w:ascii="Times New Roman" w:eastAsia="標楷體" w:hAnsi="Times New Roman"/>
              </w:rPr>
              <w:t>HER2 (-)</w:t>
            </w:r>
            <w:r w:rsidRPr="00AA2ED0">
              <w:rPr>
                <w:rFonts w:ascii="Times New Roman" w:eastAsia="標楷體" w:hAnsi="Times New Roman"/>
              </w:rPr>
              <w:t>轉移性乳癌病人的第一線治療。</w:t>
            </w:r>
          </w:p>
          <w:p w:rsidR="0077391B"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lastRenderedPageBreak/>
              <w:t>惡性神經膠質瘤</w:t>
            </w:r>
            <w:r w:rsidRPr="00AA2ED0">
              <w:rPr>
                <w:rFonts w:ascii="Times New Roman" w:eastAsia="標楷體" w:hAnsi="Times New Roman"/>
              </w:rPr>
              <w:t>(WHO</w:t>
            </w:r>
            <w:r w:rsidRPr="00AA2ED0">
              <w:rPr>
                <w:rFonts w:ascii="Times New Roman" w:eastAsia="標楷體" w:hAnsi="Times New Roman"/>
              </w:rPr>
              <w:t>第</w:t>
            </w:r>
            <w:r w:rsidRPr="00AA2ED0">
              <w:rPr>
                <w:rFonts w:ascii="Times New Roman" w:eastAsia="標楷體" w:hAnsi="Times New Roman"/>
              </w:rPr>
              <w:t>4</w:t>
            </w:r>
            <w:r w:rsidRPr="00AA2ED0">
              <w:rPr>
                <w:rFonts w:ascii="Times New Roman" w:eastAsia="標楷體" w:hAnsi="Times New Roman"/>
              </w:rPr>
              <w:t>級</w:t>
            </w:r>
            <w:r w:rsidRPr="00AA2ED0">
              <w:rPr>
                <w:rFonts w:ascii="Times New Roman" w:eastAsia="標楷體" w:hAnsi="Times New Roman"/>
              </w:rPr>
              <w:t xml:space="preserve">) - </w:t>
            </w:r>
            <w:r w:rsidRPr="00AA2ED0">
              <w:rPr>
                <w:rFonts w:ascii="Times New Roman" w:eastAsia="標楷體" w:hAnsi="Times New Roman"/>
              </w:rPr>
              <w:t>神經膠母細胞瘤</w:t>
            </w:r>
            <w:r>
              <w:rPr>
                <w:rFonts w:ascii="Times New Roman" w:eastAsia="標楷體" w:hAnsi="Times New Roman" w:hint="eastAsia"/>
              </w:rPr>
              <w:t>：</w:t>
            </w:r>
            <w:r w:rsidRPr="00AA2ED0">
              <w:rPr>
                <w:rFonts w:ascii="Times New Roman" w:eastAsia="標楷體" w:hAnsi="Times New Roman"/>
              </w:rPr>
              <w:t>Bevacizumab</w:t>
            </w:r>
            <w:r w:rsidRPr="00AA2ED0">
              <w:rPr>
                <w:rFonts w:ascii="Times New Roman" w:eastAsia="標楷體" w:hAnsi="Times New Roman"/>
              </w:rPr>
              <w:t>單獨使用可用於治療曾接受標準放射線治療且含</w:t>
            </w:r>
            <w:r w:rsidRPr="00AA2ED0">
              <w:rPr>
                <w:rFonts w:ascii="Times New Roman" w:eastAsia="標楷體" w:hAnsi="Times New Roman"/>
              </w:rPr>
              <w:t>Temozolomide</w:t>
            </w:r>
            <w:r w:rsidRPr="00AA2ED0">
              <w:rPr>
                <w:rFonts w:ascii="Times New Roman" w:eastAsia="標楷體" w:hAnsi="Times New Roman"/>
              </w:rPr>
              <w:t>在內之化學藥物治療失敗之多型性神經膠母細胞瘤</w:t>
            </w:r>
            <w:r w:rsidRPr="00AA2ED0">
              <w:rPr>
                <w:rFonts w:ascii="Times New Roman" w:eastAsia="標楷體" w:hAnsi="Times New Roman"/>
              </w:rPr>
              <w:t>(Glioblastoma multiforme)</w:t>
            </w:r>
            <w:r w:rsidRPr="00AA2ED0">
              <w:rPr>
                <w:rFonts w:ascii="Times New Roman" w:eastAsia="標楷體" w:hAnsi="Times New Roman"/>
              </w:rPr>
              <w:t>復發之成人病人。</w:t>
            </w:r>
          </w:p>
          <w:p w:rsidR="0077391B"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t>晚期、轉移性或復發性非鱗狀非小細胞肺癌</w:t>
            </w:r>
            <w:r w:rsidRPr="00AA2ED0">
              <w:rPr>
                <w:rFonts w:ascii="Times New Roman" w:eastAsia="標楷體" w:hAnsi="Times New Roman"/>
              </w:rPr>
              <w:t>(NSCLC)</w:t>
            </w:r>
            <w:r>
              <w:rPr>
                <w:rFonts w:ascii="Times New Roman" w:eastAsia="標楷體" w:hAnsi="Times New Roman" w:hint="eastAsia"/>
              </w:rPr>
              <w:t>：</w:t>
            </w:r>
          </w:p>
          <w:p w:rsidR="0077391B" w:rsidRPr="00AA2ED0" w:rsidRDefault="0077391B" w:rsidP="003555E5">
            <w:pPr>
              <w:pStyle w:val="a9"/>
              <w:widowControl/>
              <w:numPr>
                <w:ilvl w:val="0"/>
                <w:numId w:val="18"/>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carboplatin</w:t>
            </w:r>
            <w:r w:rsidRPr="00AA2ED0">
              <w:rPr>
                <w:rFonts w:ascii="Times New Roman" w:eastAsia="標楷體" w:hAnsi="Times New Roman"/>
              </w:rPr>
              <w:t>及</w:t>
            </w:r>
            <w:r w:rsidRPr="00AA2ED0">
              <w:rPr>
                <w:rFonts w:ascii="Times New Roman" w:eastAsia="標楷體" w:hAnsi="Times New Roman"/>
              </w:rPr>
              <w:t>paclitaxel</w:t>
            </w:r>
            <w:r w:rsidRPr="00AA2ED0">
              <w:rPr>
                <w:rFonts w:ascii="Times New Roman" w:eastAsia="標楷體" w:hAnsi="Times New Roman"/>
              </w:rPr>
              <w:t>合併使用，可以作為無法切除的晚期、轉移性或復發性非鱗狀非小細胞肺癌病人的第一線治療。</w:t>
            </w:r>
          </w:p>
          <w:p w:rsidR="0077391B" w:rsidRPr="00AA2ED0" w:rsidRDefault="0077391B" w:rsidP="003555E5">
            <w:pPr>
              <w:pStyle w:val="a9"/>
              <w:widowControl/>
              <w:numPr>
                <w:ilvl w:val="0"/>
                <w:numId w:val="18"/>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併用</w:t>
            </w:r>
            <w:r w:rsidRPr="00AA2ED0">
              <w:rPr>
                <w:rFonts w:ascii="Times New Roman" w:eastAsia="標楷體" w:hAnsi="Times New Roman"/>
              </w:rPr>
              <w:t>erlotinib</w:t>
            </w:r>
            <w:r w:rsidRPr="00AA2ED0">
              <w:rPr>
                <w:rFonts w:ascii="Times New Roman" w:eastAsia="標楷體" w:hAnsi="Times New Roman"/>
              </w:rPr>
              <w:t>，可作為無法手術切除的晚期、轉移性或復發性且帶有表皮生長因子受體</w:t>
            </w:r>
            <w:r w:rsidRPr="00AA2ED0">
              <w:rPr>
                <w:rFonts w:ascii="Times New Roman" w:eastAsia="標楷體" w:hAnsi="Times New Roman"/>
              </w:rPr>
              <w:t>(EGFR)</w:t>
            </w:r>
            <w:r w:rsidRPr="00AA2ED0">
              <w:rPr>
                <w:rFonts w:ascii="Times New Roman" w:eastAsia="標楷體" w:hAnsi="Times New Roman"/>
              </w:rPr>
              <w:t>活化性突變的非鱗狀非小細胞肺癌病人的第一線治療。</w:t>
            </w:r>
          </w:p>
          <w:p w:rsidR="0077391B"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t>卵巢上皮細胞、輸卵管或原發性腹膜癌</w:t>
            </w:r>
            <w:r w:rsidRPr="00AA2ED0">
              <w:rPr>
                <w:rFonts w:ascii="Times New Roman" w:eastAsia="標楷體" w:hAnsi="Times New Roman"/>
              </w:rPr>
              <w:t>(Epithelial Ovarian, Fallopian Tube or Primary Peritoneal Cancer)</w:t>
            </w:r>
            <w:r>
              <w:rPr>
                <w:rFonts w:ascii="Times New Roman" w:eastAsia="標楷體" w:hAnsi="Times New Roman" w:hint="eastAsia"/>
              </w:rPr>
              <w:t>：</w:t>
            </w:r>
          </w:p>
          <w:p w:rsidR="0077391B" w:rsidRPr="00AA2ED0" w:rsidRDefault="0077391B" w:rsidP="003555E5">
            <w:pPr>
              <w:pStyle w:val="a9"/>
              <w:widowControl/>
              <w:numPr>
                <w:ilvl w:val="0"/>
                <w:numId w:val="19"/>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carboplatin</w:t>
            </w:r>
            <w:r w:rsidRPr="00AA2ED0">
              <w:rPr>
                <w:rFonts w:ascii="Times New Roman" w:eastAsia="標楷體" w:hAnsi="Times New Roman"/>
              </w:rPr>
              <w:t>及</w:t>
            </w:r>
            <w:r w:rsidRPr="00AA2ED0">
              <w:rPr>
                <w:rFonts w:ascii="Times New Roman" w:eastAsia="標楷體" w:hAnsi="Times New Roman"/>
              </w:rPr>
              <w:t>paclitaxel</w:t>
            </w:r>
            <w:r w:rsidRPr="00AA2ED0">
              <w:rPr>
                <w:rFonts w:ascii="Times New Roman" w:eastAsia="標楷體" w:hAnsi="Times New Roman"/>
              </w:rPr>
              <w:t>合併使用，接著單獨使用</w:t>
            </w:r>
            <w:r>
              <w:rPr>
                <w:rFonts w:ascii="Times New Roman" w:eastAsia="標楷體" w:hAnsi="Times New Roman"/>
              </w:rPr>
              <w:t>b</w:t>
            </w:r>
            <w:r w:rsidRPr="00AA2ED0">
              <w:rPr>
                <w:rFonts w:ascii="Times New Roman" w:eastAsia="標楷體" w:hAnsi="Times New Roman"/>
              </w:rPr>
              <w:t>evacizumab</w:t>
            </w:r>
            <w:r w:rsidRPr="00AA2ED0">
              <w:rPr>
                <w:rFonts w:ascii="Times New Roman" w:eastAsia="標楷體" w:hAnsi="Times New Roman"/>
              </w:rPr>
              <w:t>，可以做為第三期或第四期卵巢上皮細胞、輸卵管或原發性腹膜癌病人接受初次手術切除後之治療。</w:t>
            </w:r>
          </w:p>
          <w:p w:rsidR="0077391B" w:rsidRPr="00AA2ED0" w:rsidRDefault="0077391B" w:rsidP="003555E5">
            <w:pPr>
              <w:pStyle w:val="a9"/>
              <w:widowControl/>
              <w:numPr>
                <w:ilvl w:val="0"/>
                <w:numId w:val="19"/>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carboplatin</w:t>
            </w:r>
            <w:r w:rsidRPr="00AA2ED0">
              <w:rPr>
                <w:rFonts w:ascii="Times New Roman" w:eastAsia="標楷體" w:hAnsi="Times New Roman"/>
              </w:rPr>
              <w:t>及</w:t>
            </w:r>
            <w:r w:rsidRPr="00AA2ED0">
              <w:rPr>
                <w:rFonts w:ascii="Times New Roman" w:eastAsia="標楷體" w:hAnsi="Times New Roman"/>
              </w:rPr>
              <w:t>gemcitabine</w:t>
            </w:r>
            <w:r w:rsidRPr="00AA2ED0">
              <w:rPr>
                <w:rFonts w:ascii="Times New Roman" w:eastAsia="標楷體" w:hAnsi="Times New Roman"/>
              </w:rPr>
              <w:t>合併使用，可以做為曾接受過第一線含鉑類藥物</w:t>
            </w:r>
            <w:r w:rsidRPr="00AA2ED0">
              <w:rPr>
                <w:rFonts w:ascii="Times New Roman" w:eastAsia="標楷體" w:hAnsi="Times New Roman"/>
              </w:rPr>
              <w:t>(Platinum-based)</w:t>
            </w:r>
            <w:r w:rsidRPr="00AA2ED0">
              <w:rPr>
                <w:rFonts w:ascii="Times New Roman" w:eastAsia="標楷體" w:hAnsi="Times New Roman"/>
              </w:rPr>
              <w:t>化學治療間隔至少</w:t>
            </w:r>
            <w:r w:rsidRPr="00AA2ED0">
              <w:rPr>
                <w:rFonts w:ascii="Times New Roman" w:eastAsia="標楷體" w:hAnsi="Times New Roman"/>
              </w:rPr>
              <w:t>6</w:t>
            </w:r>
            <w:r w:rsidRPr="00AA2ED0">
              <w:rPr>
                <w:rFonts w:ascii="Times New Roman" w:eastAsia="標楷體" w:hAnsi="Times New Roman"/>
              </w:rPr>
              <w:t>個月再復發</w:t>
            </w:r>
            <w:r w:rsidRPr="00AA2ED0">
              <w:rPr>
                <w:rFonts w:ascii="Times New Roman" w:eastAsia="標楷體" w:hAnsi="Times New Roman"/>
              </w:rPr>
              <w:t>(</w:t>
            </w:r>
            <w:r w:rsidRPr="00AA2ED0">
              <w:rPr>
                <w:rFonts w:ascii="Times New Roman" w:eastAsia="標楷體" w:hAnsi="Times New Roman"/>
              </w:rPr>
              <w:t>即，對含鉑藥物具感受性</w:t>
            </w:r>
            <w:r w:rsidRPr="00AA2ED0">
              <w:rPr>
                <w:rFonts w:ascii="Times New Roman" w:eastAsia="標楷體" w:hAnsi="Times New Roman"/>
              </w:rPr>
              <w:t>)</w:t>
            </w:r>
            <w:r w:rsidRPr="00AA2ED0">
              <w:rPr>
                <w:rFonts w:ascii="Times New Roman" w:eastAsia="標楷體" w:hAnsi="Times New Roman"/>
              </w:rPr>
              <w:t>，且未曾接受過</w:t>
            </w:r>
            <w:r w:rsidRPr="00AA2ED0">
              <w:rPr>
                <w:rFonts w:ascii="Times New Roman" w:eastAsia="標楷體" w:hAnsi="Times New Roman"/>
              </w:rPr>
              <w:t>bevacizumab</w:t>
            </w:r>
            <w:r w:rsidRPr="00AA2ED0">
              <w:rPr>
                <w:rFonts w:ascii="Times New Roman" w:eastAsia="標楷體" w:hAnsi="Times New Roman"/>
              </w:rPr>
              <w:t>或其他血管內皮細胞生長因子</w:t>
            </w:r>
            <w:r w:rsidRPr="00AA2ED0">
              <w:rPr>
                <w:rFonts w:ascii="Times New Roman" w:eastAsia="標楷體" w:hAnsi="Times New Roman"/>
              </w:rPr>
              <w:t>(VEGF)</w:t>
            </w:r>
            <w:r w:rsidRPr="00AA2ED0">
              <w:rPr>
                <w:rFonts w:ascii="Times New Roman" w:eastAsia="標楷體" w:hAnsi="Times New Roman"/>
              </w:rPr>
              <w:t>抑制劑或血管內皮細胞生長因子接受器之標靶藥物</w:t>
            </w:r>
            <w:r w:rsidRPr="00AA2ED0">
              <w:rPr>
                <w:rFonts w:ascii="Times New Roman" w:eastAsia="標楷體" w:hAnsi="Times New Roman"/>
              </w:rPr>
              <w:t>(VEGF receptor-targeted agents)</w:t>
            </w:r>
            <w:r w:rsidRPr="00AA2ED0">
              <w:rPr>
                <w:rFonts w:ascii="Times New Roman" w:eastAsia="標楷體" w:hAnsi="Times New Roman"/>
              </w:rPr>
              <w:t>治療之復發性卵巢上皮細胞、輸卵管或原發性腹膜癌病人之治療。</w:t>
            </w:r>
          </w:p>
          <w:p w:rsidR="0077391B" w:rsidRPr="00AA2ED0" w:rsidRDefault="0077391B" w:rsidP="003555E5">
            <w:pPr>
              <w:pStyle w:val="a9"/>
              <w:widowControl/>
              <w:numPr>
                <w:ilvl w:val="0"/>
                <w:numId w:val="19"/>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carboplatin</w:t>
            </w:r>
            <w:r w:rsidRPr="00AA2ED0">
              <w:rPr>
                <w:rFonts w:ascii="Times New Roman" w:eastAsia="標楷體" w:hAnsi="Times New Roman"/>
              </w:rPr>
              <w:t>及</w:t>
            </w:r>
            <w:r w:rsidRPr="00AA2ED0">
              <w:rPr>
                <w:rFonts w:ascii="Times New Roman" w:eastAsia="標楷體" w:hAnsi="Times New Roman"/>
              </w:rPr>
              <w:t>paclitaxel</w:t>
            </w:r>
            <w:r w:rsidRPr="00AA2ED0">
              <w:rPr>
                <w:rFonts w:ascii="Times New Roman" w:eastAsia="標楷體" w:hAnsi="Times New Roman"/>
              </w:rPr>
              <w:t>合併使用，接著單獨使用</w:t>
            </w:r>
            <w:r w:rsidRPr="00AA2ED0">
              <w:rPr>
                <w:rFonts w:ascii="Times New Roman" w:eastAsia="標楷體" w:hAnsi="Times New Roman"/>
              </w:rPr>
              <w:t>bevacizumab</w:t>
            </w:r>
            <w:r w:rsidRPr="00AA2ED0">
              <w:rPr>
                <w:rFonts w:ascii="Times New Roman" w:eastAsia="標楷體" w:hAnsi="Times New Roman"/>
              </w:rPr>
              <w:t>治療，可以做為對含鉑藥物具感受性之復發性卵巢上皮細胞、輸卵管或原發性腹膜癌病人的治療。</w:t>
            </w:r>
          </w:p>
          <w:p w:rsidR="0077391B" w:rsidRDefault="0077391B" w:rsidP="003555E5">
            <w:pPr>
              <w:pStyle w:val="a9"/>
              <w:widowControl/>
              <w:numPr>
                <w:ilvl w:val="0"/>
                <w:numId w:val="19"/>
              </w:numPr>
              <w:ind w:leftChars="0"/>
              <w:rPr>
                <w:rFonts w:ascii="Times New Roman" w:eastAsia="標楷體" w:hAnsi="Times New Roman"/>
              </w:rPr>
            </w:pPr>
            <w:r w:rsidRPr="00AA2ED0">
              <w:rPr>
                <w:rFonts w:ascii="Times New Roman" w:eastAsia="標楷體" w:hAnsi="Times New Roman"/>
              </w:rPr>
              <w:t>Bevacizumab</w:t>
            </w:r>
            <w:r w:rsidRPr="00AA2ED0">
              <w:rPr>
                <w:rFonts w:ascii="Times New Roman" w:eastAsia="標楷體" w:hAnsi="Times New Roman"/>
              </w:rPr>
              <w:t>併用</w:t>
            </w:r>
            <w:r w:rsidRPr="00AA2ED0">
              <w:rPr>
                <w:rFonts w:ascii="Times New Roman" w:eastAsia="標楷體" w:hAnsi="Times New Roman"/>
              </w:rPr>
              <w:t>paclitaxel</w:t>
            </w:r>
            <w:r w:rsidRPr="00AA2ED0">
              <w:rPr>
                <w:rFonts w:ascii="Times New Roman" w:eastAsia="標楷體" w:hAnsi="Times New Roman"/>
              </w:rPr>
              <w:t>、</w:t>
            </w:r>
            <w:r w:rsidRPr="00AA2ED0">
              <w:rPr>
                <w:rFonts w:ascii="Times New Roman" w:eastAsia="標楷體" w:hAnsi="Times New Roman"/>
              </w:rPr>
              <w:t>topotecan</w:t>
            </w:r>
            <w:r w:rsidRPr="00AA2ED0">
              <w:rPr>
                <w:rFonts w:ascii="Times New Roman" w:eastAsia="標楷體" w:hAnsi="Times New Roman"/>
              </w:rPr>
              <w:t>或</w:t>
            </w:r>
            <w:r w:rsidRPr="00AA2ED0">
              <w:rPr>
                <w:rFonts w:ascii="Times New Roman" w:eastAsia="標楷體" w:hAnsi="Times New Roman"/>
              </w:rPr>
              <w:t>pegylated liposomal doxorubicin</w:t>
            </w:r>
            <w:r w:rsidRPr="00AA2ED0">
              <w:rPr>
                <w:rFonts w:ascii="Times New Roman" w:eastAsia="標楷體" w:hAnsi="Times New Roman"/>
              </w:rPr>
              <w:t>可以做為接受過含鉑類藥物</w:t>
            </w:r>
            <w:r w:rsidRPr="00AA2ED0">
              <w:rPr>
                <w:rFonts w:ascii="Times New Roman" w:eastAsia="標楷體" w:hAnsi="Times New Roman"/>
              </w:rPr>
              <w:t>(platinum-based)</w:t>
            </w:r>
            <w:r w:rsidRPr="00AA2ED0">
              <w:rPr>
                <w:rFonts w:ascii="Times New Roman" w:eastAsia="標楷體" w:hAnsi="Times New Roman"/>
              </w:rPr>
              <w:t>化療治療後</w:t>
            </w:r>
            <w:r w:rsidRPr="00AA2ED0">
              <w:rPr>
                <w:rFonts w:ascii="Times New Roman" w:eastAsia="標楷體" w:hAnsi="Times New Roman"/>
              </w:rPr>
              <w:t>6</w:t>
            </w:r>
            <w:r w:rsidRPr="00AA2ED0">
              <w:rPr>
                <w:rFonts w:ascii="Times New Roman" w:eastAsia="標楷體" w:hAnsi="Times New Roman"/>
              </w:rPr>
              <w:t>個月內再復發</w:t>
            </w:r>
            <w:r w:rsidRPr="00AA2ED0">
              <w:rPr>
                <w:rFonts w:ascii="Times New Roman" w:eastAsia="標楷體" w:hAnsi="Times New Roman"/>
              </w:rPr>
              <w:t>(</w:t>
            </w:r>
            <w:r w:rsidRPr="00AA2ED0">
              <w:rPr>
                <w:rFonts w:ascii="Times New Roman" w:eastAsia="標楷體" w:hAnsi="Times New Roman"/>
              </w:rPr>
              <w:t>即，對含鉑藥物具抗藥性</w:t>
            </w:r>
            <w:r w:rsidRPr="00AA2ED0">
              <w:rPr>
                <w:rFonts w:ascii="Times New Roman" w:eastAsia="標楷體" w:hAnsi="Times New Roman"/>
              </w:rPr>
              <w:t>)</w:t>
            </w:r>
            <w:r w:rsidRPr="00AA2ED0">
              <w:rPr>
                <w:rFonts w:ascii="Times New Roman" w:eastAsia="標楷體" w:hAnsi="Times New Roman"/>
              </w:rPr>
              <w:t>、之前接受不超過</w:t>
            </w:r>
            <w:r w:rsidRPr="00AA2ED0">
              <w:rPr>
                <w:rFonts w:ascii="Times New Roman" w:eastAsia="標楷體" w:hAnsi="Times New Roman"/>
              </w:rPr>
              <w:t>2</w:t>
            </w:r>
            <w:r w:rsidRPr="00AA2ED0">
              <w:rPr>
                <w:rFonts w:ascii="Times New Roman" w:eastAsia="標楷體" w:hAnsi="Times New Roman"/>
              </w:rPr>
              <w:t>種化療療程且未曾接受過</w:t>
            </w:r>
            <w:r w:rsidRPr="00AA2ED0">
              <w:rPr>
                <w:rFonts w:ascii="Times New Roman" w:eastAsia="標楷體" w:hAnsi="Times New Roman"/>
              </w:rPr>
              <w:t>bevacizumab</w:t>
            </w:r>
            <w:r w:rsidRPr="00AA2ED0">
              <w:rPr>
                <w:rFonts w:ascii="Times New Roman" w:eastAsia="標楷體" w:hAnsi="Times New Roman"/>
              </w:rPr>
              <w:t>或其他血管內皮細胞生長因子</w:t>
            </w:r>
            <w:r w:rsidRPr="00AA2ED0">
              <w:rPr>
                <w:rFonts w:ascii="Times New Roman" w:eastAsia="標楷體" w:hAnsi="Times New Roman"/>
              </w:rPr>
              <w:t>(VEGF)</w:t>
            </w:r>
            <w:r w:rsidRPr="00AA2ED0">
              <w:rPr>
                <w:rFonts w:ascii="Times New Roman" w:eastAsia="標楷體" w:hAnsi="Times New Roman"/>
              </w:rPr>
              <w:t>抑制劑或血管內皮細胞生長因子接受器之標靶藥物</w:t>
            </w:r>
            <w:r w:rsidRPr="00AA2ED0">
              <w:rPr>
                <w:rFonts w:ascii="Times New Roman" w:eastAsia="標楷體" w:hAnsi="Times New Roman"/>
              </w:rPr>
              <w:t xml:space="preserve"> (VEGF receptor-targeted agents)</w:t>
            </w:r>
            <w:r w:rsidRPr="00AA2ED0">
              <w:rPr>
                <w:rFonts w:ascii="Times New Roman" w:eastAsia="標楷體" w:hAnsi="Times New Roman"/>
              </w:rPr>
              <w:t>之復發性卵巢上皮細胞癌、輸卵管或原發性腹膜癌病人的治療。</w:t>
            </w:r>
          </w:p>
          <w:p w:rsidR="0077391B" w:rsidRPr="00386048" w:rsidRDefault="0077391B" w:rsidP="003555E5">
            <w:pPr>
              <w:pStyle w:val="a9"/>
              <w:widowControl/>
              <w:numPr>
                <w:ilvl w:val="0"/>
                <w:numId w:val="16"/>
              </w:numPr>
              <w:ind w:leftChars="0"/>
              <w:rPr>
                <w:rFonts w:ascii="Times New Roman" w:eastAsia="標楷體" w:hAnsi="Times New Roman"/>
              </w:rPr>
            </w:pPr>
            <w:r w:rsidRPr="00AA2ED0">
              <w:rPr>
                <w:rFonts w:ascii="Times New Roman" w:eastAsia="標楷體" w:hAnsi="Times New Roman"/>
              </w:rPr>
              <w:t>持續性、復發性或轉移性之子宮頸癌</w:t>
            </w:r>
            <w:r w:rsidRPr="00AA2ED0">
              <w:rPr>
                <w:rFonts w:ascii="Times New Roman" w:eastAsia="標楷體" w:hAnsi="Times New Roman"/>
              </w:rPr>
              <w:t>(Persistent, Recurrent, or Metastatic Cervical Cancer)</w:t>
            </w:r>
            <w:r>
              <w:rPr>
                <w:rFonts w:ascii="Times New Roman" w:eastAsia="標楷體" w:hAnsi="Times New Roman" w:hint="eastAsia"/>
              </w:rPr>
              <w:t>：</w:t>
            </w: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paclitaxel</w:t>
            </w:r>
            <w:r w:rsidRPr="00AA2ED0">
              <w:rPr>
                <w:rFonts w:ascii="Times New Roman" w:eastAsia="標楷體" w:hAnsi="Times New Roman"/>
              </w:rPr>
              <w:t>及</w:t>
            </w:r>
            <w:r w:rsidRPr="00AA2ED0">
              <w:rPr>
                <w:rFonts w:ascii="Times New Roman" w:eastAsia="標楷體" w:hAnsi="Times New Roman"/>
              </w:rPr>
              <w:t>cisplatin</w:t>
            </w:r>
            <w:r w:rsidRPr="00AA2ED0">
              <w:rPr>
                <w:rFonts w:ascii="Times New Roman" w:eastAsia="標楷體" w:hAnsi="Times New Roman"/>
              </w:rPr>
              <w:t>合併使用可用於治療持續性、復發性或轉移性之子宮頸癌。</w:t>
            </w:r>
            <w:r w:rsidRPr="00AA2ED0">
              <w:rPr>
                <w:rFonts w:ascii="Times New Roman" w:eastAsia="標楷體" w:hAnsi="Times New Roman"/>
              </w:rPr>
              <w:t>Bevacizumab</w:t>
            </w:r>
            <w:r w:rsidRPr="00AA2ED0">
              <w:rPr>
                <w:rFonts w:ascii="Times New Roman" w:eastAsia="標楷體" w:hAnsi="Times New Roman"/>
              </w:rPr>
              <w:t>與</w:t>
            </w:r>
            <w:r w:rsidRPr="00AA2ED0">
              <w:rPr>
                <w:rFonts w:ascii="Times New Roman" w:eastAsia="標楷體" w:hAnsi="Times New Roman"/>
              </w:rPr>
              <w:t>paclitaxel</w:t>
            </w:r>
            <w:r w:rsidRPr="00AA2ED0">
              <w:rPr>
                <w:rFonts w:ascii="Times New Roman" w:eastAsia="標楷體" w:hAnsi="Times New Roman"/>
              </w:rPr>
              <w:t>及</w:t>
            </w:r>
            <w:r w:rsidRPr="00AA2ED0">
              <w:rPr>
                <w:rFonts w:ascii="Times New Roman" w:eastAsia="標楷體" w:hAnsi="Times New Roman"/>
              </w:rPr>
              <w:t>topotecan</w:t>
            </w:r>
            <w:r w:rsidRPr="00AA2ED0">
              <w:rPr>
                <w:rFonts w:ascii="Times New Roman" w:eastAsia="標楷體" w:hAnsi="Times New Roman"/>
              </w:rPr>
              <w:t>合併使用可用於無法接受含鉑類藥物治療</w:t>
            </w:r>
            <w:r w:rsidRPr="00AA2ED0">
              <w:rPr>
                <w:rFonts w:ascii="Times New Roman" w:eastAsia="標楷體" w:hAnsi="Times New Roman"/>
              </w:rPr>
              <w:t>(platinum therapy)</w:t>
            </w:r>
            <w:r>
              <w:rPr>
                <w:rFonts w:ascii="Times New Roman" w:eastAsia="標楷體" w:hAnsi="Times New Roman"/>
              </w:rPr>
              <w:t>病人之持續性、復發性或轉移性子宮頸癌</w:t>
            </w:r>
            <w:r>
              <w:rPr>
                <w:rFonts w:ascii="Times New Roman" w:eastAsia="標楷體" w:hAnsi="Times New Roman" w:hint="eastAsia"/>
              </w:rPr>
              <w:t>。</w:t>
            </w:r>
          </w:p>
        </w:tc>
      </w:tr>
    </w:tbl>
    <w:p w:rsidR="00D221D6" w:rsidRDefault="00D221D6" w:rsidP="006C44E4">
      <w:pPr>
        <w:widowControl/>
      </w:pPr>
    </w:p>
    <w:sectPr w:rsidR="00D221D6" w:rsidSect="00C7054A">
      <w:pgSz w:w="16838" w:h="11906" w:orient="landscape"/>
      <w:pgMar w:top="568" w:right="962"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89" w:rsidRDefault="00597789" w:rsidP="003B56BC">
      <w:r>
        <w:separator/>
      </w:r>
    </w:p>
  </w:endnote>
  <w:endnote w:type="continuationSeparator" w:id="0">
    <w:p w:rsidR="00597789" w:rsidRDefault="00597789"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89" w:rsidRDefault="00597789" w:rsidP="003B56BC">
      <w:r>
        <w:separator/>
      </w:r>
    </w:p>
  </w:footnote>
  <w:footnote w:type="continuationSeparator" w:id="0">
    <w:p w:rsidR="00597789" w:rsidRDefault="00597789"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212"/>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9F176E"/>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7330D"/>
    <w:multiLevelType w:val="hybridMultilevel"/>
    <w:tmpl w:val="1D3A9524"/>
    <w:lvl w:ilvl="0" w:tplc="9948DA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6B43566"/>
    <w:multiLevelType w:val="hybridMultilevel"/>
    <w:tmpl w:val="71986DA6"/>
    <w:lvl w:ilvl="0" w:tplc="9AC87E4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9724CB"/>
    <w:multiLevelType w:val="hybridMultilevel"/>
    <w:tmpl w:val="C22ED18A"/>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C0305F"/>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D27F79"/>
    <w:multiLevelType w:val="hybridMultilevel"/>
    <w:tmpl w:val="0F1AB5F0"/>
    <w:lvl w:ilvl="0" w:tplc="43E627D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3426EE"/>
    <w:multiLevelType w:val="hybridMultilevel"/>
    <w:tmpl w:val="1D3A9524"/>
    <w:lvl w:ilvl="0" w:tplc="9948DA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0740D4F"/>
    <w:multiLevelType w:val="hybridMultilevel"/>
    <w:tmpl w:val="5EB0E9C8"/>
    <w:lvl w:ilvl="0" w:tplc="3A2064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01642DD"/>
    <w:multiLevelType w:val="hybridMultilevel"/>
    <w:tmpl w:val="810C3318"/>
    <w:lvl w:ilvl="0" w:tplc="0409000F">
      <w:start w:val="1"/>
      <w:numFmt w:val="decimal"/>
      <w:lvlText w:val="%1."/>
      <w:lvlJc w:val="left"/>
      <w:pPr>
        <w:ind w:left="480" w:hanging="480"/>
      </w:pPr>
    </w:lvl>
    <w:lvl w:ilvl="1" w:tplc="9C6A27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3D4333"/>
    <w:multiLevelType w:val="hybridMultilevel"/>
    <w:tmpl w:val="82F8D536"/>
    <w:lvl w:ilvl="0" w:tplc="12524098">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1879D8"/>
    <w:multiLevelType w:val="hybridMultilevel"/>
    <w:tmpl w:val="84985A5A"/>
    <w:lvl w:ilvl="0" w:tplc="FF343B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8663D6E"/>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E103A"/>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B656BC"/>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8F76F7"/>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6747B7"/>
    <w:multiLevelType w:val="hybridMultilevel"/>
    <w:tmpl w:val="B83EA5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7D06D10"/>
    <w:multiLevelType w:val="hybridMultilevel"/>
    <w:tmpl w:val="01789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D4C59A4"/>
    <w:multiLevelType w:val="hybridMultilevel"/>
    <w:tmpl w:val="404C168E"/>
    <w:lvl w:ilvl="0" w:tplc="5424802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C5778E"/>
    <w:multiLevelType w:val="hybridMultilevel"/>
    <w:tmpl w:val="46B4D8C6"/>
    <w:lvl w:ilvl="0" w:tplc="AED840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80B0CF1"/>
    <w:multiLevelType w:val="hybridMultilevel"/>
    <w:tmpl w:val="CA0848E0"/>
    <w:lvl w:ilvl="0" w:tplc="CEE2451A">
      <w:start w:val="1"/>
      <w:numFmt w:val="decimal"/>
      <w:lvlText w:val="%1."/>
      <w:lvlJc w:val="left"/>
      <w:pPr>
        <w:ind w:left="480" w:hanging="480"/>
      </w:pPr>
      <w:rPr>
        <w:b w:val="0"/>
      </w:rPr>
    </w:lvl>
    <w:lvl w:ilvl="1" w:tplc="48184BE2">
      <w:start w:val="9"/>
      <w:numFmt w:val="bullet"/>
      <w:lvlText w:val="◎"/>
      <w:lvlJc w:val="left"/>
      <w:pPr>
        <w:ind w:left="840" w:hanging="360"/>
      </w:pPr>
      <w:rPr>
        <w:rFonts w:ascii="標楷體" w:eastAsia="標楷體" w:hAnsi="標楷體" w:cs="Times New Roman" w:hint="eastAsia"/>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3A1720"/>
    <w:multiLevelType w:val="hybridMultilevel"/>
    <w:tmpl w:val="810C3318"/>
    <w:lvl w:ilvl="0" w:tplc="0409000F">
      <w:start w:val="1"/>
      <w:numFmt w:val="decimal"/>
      <w:lvlText w:val="%1."/>
      <w:lvlJc w:val="left"/>
      <w:pPr>
        <w:ind w:left="480" w:hanging="480"/>
      </w:pPr>
    </w:lvl>
    <w:lvl w:ilvl="1" w:tplc="9C6A27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2079BC"/>
    <w:multiLevelType w:val="hybridMultilevel"/>
    <w:tmpl w:val="289C32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0"/>
  </w:num>
  <w:num w:numId="3">
    <w:abstractNumId w:val="4"/>
  </w:num>
  <w:num w:numId="4">
    <w:abstractNumId w:val="1"/>
  </w:num>
  <w:num w:numId="5">
    <w:abstractNumId w:val="9"/>
  </w:num>
  <w:num w:numId="6">
    <w:abstractNumId w:val="16"/>
  </w:num>
  <w:num w:numId="7">
    <w:abstractNumId w:val="19"/>
  </w:num>
  <w:num w:numId="8">
    <w:abstractNumId w:val="7"/>
  </w:num>
  <w:num w:numId="9">
    <w:abstractNumId w:val="21"/>
  </w:num>
  <w:num w:numId="10">
    <w:abstractNumId w:val="12"/>
  </w:num>
  <w:num w:numId="11">
    <w:abstractNumId w:val="14"/>
  </w:num>
  <w:num w:numId="12">
    <w:abstractNumId w:val="17"/>
  </w:num>
  <w:num w:numId="13">
    <w:abstractNumId w:val="0"/>
  </w:num>
  <w:num w:numId="14">
    <w:abstractNumId w:val="5"/>
  </w:num>
  <w:num w:numId="15">
    <w:abstractNumId w:val="22"/>
  </w:num>
  <w:num w:numId="16">
    <w:abstractNumId w:val="13"/>
  </w:num>
  <w:num w:numId="17">
    <w:abstractNumId w:val="2"/>
  </w:num>
  <w:num w:numId="18">
    <w:abstractNumId w:val="8"/>
  </w:num>
  <w:num w:numId="19">
    <w:abstractNumId w:val="11"/>
  </w:num>
  <w:num w:numId="20">
    <w:abstractNumId w:val="6"/>
  </w:num>
  <w:num w:numId="21">
    <w:abstractNumId w:val="3"/>
  </w:num>
  <w:num w:numId="22">
    <w:abstractNumId w:val="18"/>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1"/>
    <w:rsid w:val="0000085B"/>
    <w:rsid w:val="00000E9D"/>
    <w:rsid w:val="00001FD1"/>
    <w:rsid w:val="000042E9"/>
    <w:rsid w:val="0000533D"/>
    <w:rsid w:val="00005C49"/>
    <w:rsid w:val="0000743C"/>
    <w:rsid w:val="00011906"/>
    <w:rsid w:val="0001247F"/>
    <w:rsid w:val="00012536"/>
    <w:rsid w:val="00014990"/>
    <w:rsid w:val="00014F47"/>
    <w:rsid w:val="00015040"/>
    <w:rsid w:val="00015666"/>
    <w:rsid w:val="0001599E"/>
    <w:rsid w:val="0001660E"/>
    <w:rsid w:val="0001696E"/>
    <w:rsid w:val="00017171"/>
    <w:rsid w:val="00017AD6"/>
    <w:rsid w:val="00021108"/>
    <w:rsid w:val="0002377F"/>
    <w:rsid w:val="00024566"/>
    <w:rsid w:val="00025423"/>
    <w:rsid w:val="00032A84"/>
    <w:rsid w:val="00033C23"/>
    <w:rsid w:val="0003449A"/>
    <w:rsid w:val="00034AAD"/>
    <w:rsid w:val="000360F2"/>
    <w:rsid w:val="000362D2"/>
    <w:rsid w:val="0003743C"/>
    <w:rsid w:val="00040D39"/>
    <w:rsid w:val="000417A7"/>
    <w:rsid w:val="0004206A"/>
    <w:rsid w:val="0004233F"/>
    <w:rsid w:val="00042AB2"/>
    <w:rsid w:val="000445A1"/>
    <w:rsid w:val="00044F4B"/>
    <w:rsid w:val="0004625C"/>
    <w:rsid w:val="000464DC"/>
    <w:rsid w:val="00046859"/>
    <w:rsid w:val="00047368"/>
    <w:rsid w:val="00050279"/>
    <w:rsid w:val="00052487"/>
    <w:rsid w:val="00053A95"/>
    <w:rsid w:val="000564A7"/>
    <w:rsid w:val="00056F8F"/>
    <w:rsid w:val="00057243"/>
    <w:rsid w:val="00057BAD"/>
    <w:rsid w:val="00060CFC"/>
    <w:rsid w:val="0006115A"/>
    <w:rsid w:val="00063573"/>
    <w:rsid w:val="0006398A"/>
    <w:rsid w:val="00065F8B"/>
    <w:rsid w:val="000705C6"/>
    <w:rsid w:val="00070D59"/>
    <w:rsid w:val="000710A8"/>
    <w:rsid w:val="0007146D"/>
    <w:rsid w:val="00072239"/>
    <w:rsid w:val="00074D56"/>
    <w:rsid w:val="00076C07"/>
    <w:rsid w:val="000774C0"/>
    <w:rsid w:val="00077EC3"/>
    <w:rsid w:val="00080499"/>
    <w:rsid w:val="000810B0"/>
    <w:rsid w:val="000820FB"/>
    <w:rsid w:val="000841D6"/>
    <w:rsid w:val="00090A77"/>
    <w:rsid w:val="00091D64"/>
    <w:rsid w:val="000926E5"/>
    <w:rsid w:val="00093776"/>
    <w:rsid w:val="0009410E"/>
    <w:rsid w:val="0009412B"/>
    <w:rsid w:val="00096F70"/>
    <w:rsid w:val="000973BD"/>
    <w:rsid w:val="00097560"/>
    <w:rsid w:val="00097636"/>
    <w:rsid w:val="00097928"/>
    <w:rsid w:val="000A04E5"/>
    <w:rsid w:val="000A0803"/>
    <w:rsid w:val="000A1436"/>
    <w:rsid w:val="000A3189"/>
    <w:rsid w:val="000A3E05"/>
    <w:rsid w:val="000A3F20"/>
    <w:rsid w:val="000A7AC6"/>
    <w:rsid w:val="000B1861"/>
    <w:rsid w:val="000B1B19"/>
    <w:rsid w:val="000B50D5"/>
    <w:rsid w:val="000B5587"/>
    <w:rsid w:val="000B65E8"/>
    <w:rsid w:val="000B7944"/>
    <w:rsid w:val="000C168C"/>
    <w:rsid w:val="000C1BB2"/>
    <w:rsid w:val="000C1EAA"/>
    <w:rsid w:val="000C2AF2"/>
    <w:rsid w:val="000C4C68"/>
    <w:rsid w:val="000C4E72"/>
    <w:rsid w:val="000C4EF5"/>
    <w:rsid w:val="000C705F"/>
    <w:rsid w:val="000D0798"/>
    <w:rsid w:val="000D0FB2"/>
    <w:rsid w:val="000D1B4C"/>
    <w:rsid w:val="000D3D55"/>
    <w:rsid w:val="000D575A"/>
    <w:rsid w:val="000D5C02"/>
    <w:rsid w:val="000D6326"/>
    <w:rsid w:val="000D6D71"/>
    <w:rsid w:val="000D7C65"/>
    <w:rsid w:val="000E1889"/>
    <w:rsid w:val="000E1AC5"/>
    <w:rsid w:val="000E1CD1"/>
    <w:rsid w:val="000E2269"/>
    <w:rsid w:val="000E2809"/>
    <w:rsid w:val="000E2ABD"/>
    <w:rsid w:val="000E2C77"/>
    <w:rsid w:val="000E40B5"/>
    <w:rsid w:val="000E4257"/>
    <w:rsid w:val="000E4856"/>
    <w:rsid w:val="000E662C"/>
    <w:rsid w:val="000F197E"/>
    <w:rsid w:val="000F21E8"/>
    <w:rsid w:val="000F2321"/>
    <w:rsid w:val="000F419D"/>
    <w:rsid w:val="000F5BF9"/>
    <w:rsid w:val="000F5DD5"/>
    <w:rsid w:val="000F6F7C"/>
    <w:rsid w:val="000F7065"/>
    <w:rsid w:val="000F71FB"/>
    <w:rsid w:val="00101993"/>
    <w:rsid w:val="00101E1D"/>
    <w:rsid w:val="00101F28"/>
    <w:rsid w:val="001037C9"/>
    <w:rsid w:val="0010392C"/>
    <w:rsid w:val="001040E8"/>
    <w:rsid w:val="00104870"/>
    <w:rsid w:val="001049E0"/>
    <w:rsid w:val="00105264"/>
    <w:rsid w:val="00106445"/>
    <w:rsid w:val="001107F2"/>
    <w:rsid w:val="001132B4"/>
    <w:rsid w:val="00115A5F"/>
    <w:rsid w:val="001164A3"/>
    <w:rsid w:val="001164B5"/>
    <w:rsid w:val="0012261D"/>
    <w:rsid w:val="001226A2"/>
    <w:rsid w:val="0013033A"/>
    <w:rsid w:val="0013078F"/>
    <w:rsid w:val="00132D97"/>
    <w:rsid w:val="001330FD"/>
    <w:rsid w:val="00133461"/>
    <w:rsid w:val="00133BBC"/>
    <w:rsid w:val="001342B8"/>
    <w:rsid w:val="00134E88"/>
    <w:rsid w:val="00136184"/>
    <w:rsid w:val="001365D2"/>
    <w:rsid w:val="00137D92"/>
    <w:rsid w:val="001409C3"/>
    <w:rsid w:val="001428CE"/>
    <w:rsid w:val="00142B5F"/>
    <w:rsid w:val="00143373"/>
    <w:rsid w:val="001455B6"/>
    <w:rsid w:val="00150360"/>
    <w:rsid w:val="0015133E"/>
    <w:rsid w:val="00152E43"/>
    <w:rsid w:val="00153679"/>
    <w:rsid w:val="00153858"/>
    <w:rsid w:val="0015420F"/>
    <w:rsid w:val="001545B8"/>
    <w:rsid w:val="00154625"/>
    <w:rsid w:val="00154725"/>
    <w:rsid w:val="001552DB"/>
    <w:rsid w:val="001562C8"/>
    <w:rsid w:val="0015736A"/>
    <w:rsid w:val="00162AB9"/>
    <w:rsid w:val="00162D57"/>
    <w:rsid w:val="0016339B"/>
    <w:rsid w:val="00165A20"/>
    <w:rsid w:val="00167294"/>
    <w:rsid w:val="0017168C"/>
    <w:rsid w:val="00172779"/>
    <w:rsid w:val="00173163"/>
    <w:rsid w:val="00173D51"/>
    <w:rsid w:val="001769E6"/>
    <w:rsid w:val="00181E75"/>
    <w:rsid w:val="0018456C"/>
    <w:rsid w:val="00184C05"/>
    <w:rsid w:val="0018556C"/>
    <w:rsid w:val="001860F3"/>
    <w:rsid w:val="00186FAA"/>
    <w:rsid w:val="001875CC"/>
    <w:rsid w:val="00187B85"/>
    <w:rsid w:val="00187C4B"/>
    <w:rsid w:val="00187D7B"/>
    <w:rsid w:val="00190922"/>
    <w:rsid w:val="001909DD"/>
    <w:rsid w:val="00192432"/>
    <w:rsid w:val="00192DA3"/>
    <w:rsid w:val="001938C0"/>
    <w:rsid w:val="00193CCC"/>
    <w:rsid w:val="0019414A"/>
    <w:rsid w:val="0019493A"/>
    <w:rsid w:val="00195A13"/>
    <w:rsid w:val="00195A93"/>
    <w:rsid w:val="00195E5D"/>
    <w:rsid w:val="00196EBF"/>
    <w:rsid w:val="00197462"/>
    <w:rsid w:val="001979BC"/>
    <w:rsid w:val="001A1883"/>
    <w:rsid w:val="001A1B86"/>
    <w:rsid w:val="001A2911"/>
    <w:rsid w:val="001A2C38"/>
    <w:rsid w:val="001A363B"/>
    <w:rsid w:val="001A3CD6"/>
    <w:rsid w:val="001A4847"/>
    <w:rsid w:val="001A5323"/>
    <w:rsid w:val="001A6264"/>
    <w:rsid w:val="001B16AB"/>
    <w:rsid w:val="001B1867"/>
    <w:rsid w:val="001B19B5"/>
    <w:rsid w:val="001B2908"/>
    <w:rsid w:val="001B36F2"/>
    <w:rsid w:val="001B4099"/>
    <w:rsid w:val="001B42C3"/>
    <w:rsid w:val="001B7077"/>
    <w:rsid w:val="001B7903"/>
    <w:rsid w:val="001C0186"/>
    <w:rsid w:val="001C0BC6"/>
    <w:rsid w:val="001C0D1A"/>
    <w:rsid w:val="001C56AC"/>
    <w:rsid w:val="001C5A1B"/>
    <w:rsid w:val="001C673A"/>
    <w:rsid w:val="001D1B3C"/>
    <w:rsid w:val="001D43BC"/>
    <w:rsid w:val="001D5BFE"/>
    <w:rsid w:val="001D5D19"/>
    <w:rsid w:val="001D6C93"/>
    <w:rsid w:val="001D789A"/>
    <w:rsid w:val="001E16C6"/>
    <w:rsid w:val="001E36C3"/>
    <w:rsid w:val="001E3BEB"/>
    <w:rsid w:val="001E4113"/>
    <w:rsid w:val="001E4D43"/>
    <w:rsid w:val="001E6F73"/>
    <w:rsid w:val="001E6F88"/>
    <w:rsid w:val="001F2486"/>
    <w:rsid w:val="001F251E"/>
    <w:rsid w:val="001F67CC"/>
    <w:rsid w:val="00203113"/>
    <w:rsid w:val="002042C2"/>
    <w:rsid w:val="00204995"/>
    <w:rsid w:val="0020506E"/>
    <w:rsid w:val="00206072"/>
    <w:rsid w:val="002066FE"/>
    <w:rsid w:val="00211E09"/>
    <w:rsid w:val="0021279D"/>
    <w:rsid w:val="0021280B"/>
    <w:rsid w:val="002129C2"/>
    <w:rsid w:val="002147D2"/>
    <w:rsid w:val="002154F6"/>
    <w:rsid w:val="0021575E"/>
    <w:rsid w:val="00215F9D"/>
    <w:rsid w:val="00216218"/>
    <w:rsid w:val="00217F0A"/>
    <w:rsid w:val="00220264"/>
    <w:rsid w:val="002202AF"/>
    <w:rsid w:val="00221639"/>
    <w:rsid w:val="00222CD7"/>
    <w:rsid w:val="002243F5"/>
    <w:rsid w:val="00225F49"/>
    <w:rsid w:val="002265C2"/>
    <w:rsid w:val="002270DA"/>
    <w:rsid w:val="00227C0F"/>
    <w:rsid w:val="00232933"/>
    <w:rsid w:val="0023377D"/>
    <w:rsid w:val="00233E51"/>
    <w:rsid w:val="00234612"/>
    <w:rsid w:val="00235F72"/>
    <w:rsid w:val="00237253"/>
    <w:rsid w:val="00240A6B"/>
    <w:rsid w:val="00240B54"/>
    <w:rsid w:val="002411D0"/>
    <w:rsid w:val="00241556"/>
    <w:rsid w:val="00241D14"/>
    <w:rsid w:val="002420D6"/>
    <w:rsid w:val="0024250B"/>
    <w:rsid w:val="0024395F"/>
    <w:rsid w:val="00243B86"/>
    <w:rsid w:val="00244F03"/>
    <w:rsid w:val="002454FA"/>
    <w:rsid w:val="00245597"/>
    <w:rsid w:val="00246966"/>
    <w:rsid w:val="0025164B"/>
    <w:rsid w:val="002520C5"/>
    <w:rsid w:val="00252DD4"/>
    <w:rsid w:val="002557E3"/>
    <w:rsid w:val="00255E33"/>
    <w:rsid w:val="00263855"/>
    <w:rsid w:val="00263AF5"/>
    <w:rsid w:val="00263F6D"/>
    <w:rsid w:val="002647F8"/>
    <w:rsid w:val="002659C3"/>
    <w:rsid w:val="00265B3B"/>
    <w:rsid w:val="0026780F"/>
    <w:rsid w:val="00270A1F"/>
    <w:rsid w:val="002712BA"/>
    <w:rsid w:val="0027252E"/>
    <w:rsid w:val="00272E9D"/>
    <w:rsid w:val="0027402D"/>
    <w:rsid w:val="00276511"/>
    <w:rsid w:val="0027776F"/>
    <w:rsid w:val="002779B3"/>
    <w:rsid w:val="00281C12"/>
    <w:rsid w:val="002829E2"/>
    <w:rsid w:val="00282AD1"/>
    <w:rsid w:val="00284CCE"/>
    <w:rsid w:val="00284E77"/>
    <w:rsid w:val="002853C3"/>
    <w:rsid w:val="00285934"/>
    <w:rsid w:val="00286089"/>
    <w:rsid w:val="00292C02"/>
    <w:rsid w:val="00293CC3"/>
    <w:rsid w:val="00294900"/>
    <w:rsid w:val="00295558"/>
    <w:rsid w:val="002A2CDB"/>
    <w:rsid w:val="002A3E0E"/>
    <w:rsid w:val="002A42DD"/>
    <w:rsid w:val="002A46FC"/>
    <w:rsid w:val="002A7BB0"/>
    <w:rsid w:val="002B5BC8"/>
    <w:rsid w:val="002C26C1"/>
    <w:rsid w:val="002C413F"/>
    <w:rsid w:val="002C4641"/>
    <w:rsid w:val="002C5626"/>
    <w:rsid w:val="002C6123"/>
    <w:rsid w:val="002C6177"/>
    <w:rsid w:val="002C699B"/>
    <w:rsid w:val="002C76BC"/>
    <w:rsid w:val="002C7C5F"/>
    <w:rsid w:val="002D1CF9"/>
    <w:rsid w:val="002D2171"/>
    <w:rsid w:val="002D2686"/>
    <w:rsid w:val="002D2CC3"/>
    <w:rsid w:val="002D32BB"/>
    <w:rsid w:val="002D3FC9"/>
    <w:rsid w:val="002D488D"/>
    <w:rsid w:val="002D59BB"/>
    <w:rsid w:val="002D59E7"/>
    <w:rsid w:val="002E78CA"/>
    <w:rsid w:val="002E7C86"/>
    <w:rsid w:val="002F001F"/>
    <w:rsid w:val="002F036F"/>
    <w:rsid w:val="002F0FCC"/>
    <w:rsid w:val="002F199C"/>
    <w:rsid w:val="002F2727"/>
    <w:rsid w:val="002F340F"/>
    <w:rsid w:val="002F3BEF"/>
    <w:rsid w:val="002F751E"/>
    <w:rsid w:val="0030181F"/>
    <w:rsid w:val="003018D9"/>
    <w:rsid w:val="00301A83"/>
    <w:rsid w:val="003025BF"/>
    <w:rsid w:val="003029B5"/>
    <w:rsid w:val="0030700D"/>
    <w:rsid w:val="00315100"/>
    <w:rsid w:val="00315F9C"/>
    <w:rsid w:val="003209F3"/>
    <w:rsid w:val="00321CA5"/>
    <w:rsid w:val="003230D1"/>
    <w:rsid w:val="00324F1C"/>
    <w:rsid w:val="00325AD7"/>
    <w:rsid w:val="00330124"/>
    <w:rsid w:val="00331A22"/>
    <w:rsid w:val="0033298B"/>
    <w:rsid w:val="00336369"/>
    <w:rsid w:val="00340863"/>
    <w:rsid w:val="003412DC"/>
    <w:rsid w:val="00344761"/>
    <w:rsid w:val="003451D4"/>
    <w:rsid w:val="00345BF5"/>
    <w:rsid w:val="00346490"/>
    <w:rsid w:val="00351553"/>
    <w:rsid w:val="003555E5"/>
    <w:rsid w:val="003565AD"/>
    <w:rsid w:val="003577D0"/>
    <w:rsid w:val="00357C26"/>
    <w:rsid w:val="00357EF8"/>
    <w:rsid w:val="00361463"/>
    <w:rsid w:val="003617DE"/>
    <w:rsid w:val="00362C26"/>
    <w:rsid w:val="00363576"/>
    <w:rsid w:val="00364436"/>
    <w:rsid w:val="00366A78"/>
    <w:rsid w:val="00367110"/>
    <w:rsid w:val="003708D0"/>
    <w:rsid w:val="00370EB4"/>
    <w:rsid w:val="00372FA2"/>
    <w:rsid w:val="003735F2"/>
    <w:rsid w:val="00374FE1"/>
    <w:rsid w:val="003750CF"/>
    <w:rsid w:val="003752CB"/>
    <w:rsid w:val="00375B42"/>
    <w:rsid w:val="003773D1"/>
    <w:rsid w:val="00380713"/>
    <w:rsid w:val="00380B4C"/>
    <w:rsid w:val="00380E14"/>
    <w:rsid w:val="003826C6"/>
    <w:rsid w:val="00383F8C"/>
    <w:rsid w:val="003850C5"/>
    <w:rsid w:val="00385770"/>
    <w:rsid w:val="00386D61"/>
    <w:rsid w:val="00387C17"/>
    <w:rsid w:val="00391418"/>
    <w:rsid w:val="0039269B"/>
    <w:rsid w:val="00393D60"/>
    <w:rsid w:val="00393EE2"/>
    <w:rsid w:val="00394AAE"/>
    <w:rsid w:val="00394D72"/>
    <w:rsid w:val="003967FD"/>
    <w:rsid w:val="003970A4"/>
    <w:rsid w:val="003A4120"/>
    <w:rsid w:val="003B1179"/>
    <w:rsid w:val="003B36A0"/>
    <w:rsid w:val="003B53BF"/>
    <w:rsid w:val="003B56BC"/>
    <w:rsid w:val="003B6D8F"/>
    <w:rsid w:val="003B7298"/>
    <w:rsid w:val="003B79B7"/>
    <w:rsid w:val="003C0E64"/>
    <w:rsid w:val="003C13BE"/>
    <w:rsid w:val="003C3491"/>
    <w:rsid w:val="003C3589"/>
    <w:rsid w:val="003C36D3"/>
    <w:rsid w:val="003C452F"/>
    <w:rsid w:val="003C54B8"/>
    <w:rsid w:val="003C676A"/>
    <w:rsid w:val="003C72CD"/>
    <w:rsid w:val="003D01DA"/>
    <w:rsid w:val="003D03B0"/>
    <w:rsid w:val="003D060D"/>
    <w:rsid w:val="003D1E71"/>
    <w:rsid w:val="003D1EE0"/>
    <w:rsid w:val="003D31F5"/>
    <w:rsid w:val="003D3DB0"/>
    <w:rsid w:val="003D5778"/>
    <w:rsid w:val="003D5A52"/>
    <w:rsid w:val="003D5B16"/>
    <w:rsid w:val="003D614B"/>
    <w:rsid w:val="003D647C"/>
    <w:rsid w:val="003D6ADC"/>
    <w:rsid w:val="003D7BB4"/>
    <w:rsid w:val="003E057E"/>
    <w:rsid w:val="003E15EC"/>
    <w:rsid w:val="003E5420"/>
    <w:rsid w:val="003F00EE"/>
    <w:rsid w:val="003F04FB"/>
    <w:rsid w:val="003F0E8C"/>
    <w:rsid w:val="003F0EDA"/>
    <w:rsid w:val="003F256E"/>
    <w:rsid w:val="003F2759"/>
    <w:rsid w:val="003F2894"/>
    <w:rsid w:val="003F38B4"/>
    <w:rsid w:val="003F4CE2"/>
    <w:rsid w:val="003F627C"/>
    <w:rsid w:val="00400BCB"/>
    <w:rsid w:val="0040182D"/>
    <w:rsid w:val="00401A08"/>
    <w:rsid w:val="0040282A"/>
    <w:rsid w:val="00404BD2"/>
    <w:rsid w:val="00404D0F"/>
    <w:rsid w:val="00410346"/>
    <w:rsid w:val="0041085B"/>
    <w:rsid w:val="0041196A"/>
    <w:rsid w:val="004139D4"/>
    <w:rsid w:val="00415D39"/>
    <w:rsid w:val="00415D5C"/>
    <w:rsid w:val="00416206"/>
    <w:rsid w:val="00416503"/>
    <w:rsid w:val="00417332"/>
    <w:rsid w:val="004225BD"/>
    <w:rsid w:val="00423396"/>
    <w:rsid w:val="0042340B"/>
    <w:rsid w:val="004238C4"/>
    <w:rsid w:val="00424053"/>
    <w:rsid w:val="00426C67"/>
    <w:rsid w:val="004271F2"/>
    <w:rsid w:val="00427D46"/>
    <w:rsid w:val="004301CC"/>
    <w:rsid w:val="00430DB9"/>
    <w:rsid w:val="00431837"/>
    <w:rsid w:val="00431A54"/>
    <w:rsid w:val="0043306F"/>
    <w:rsid w:val="00433972"/>
    <w:rsid w:val="00434DE1"/>
    <w:rsid w:val="004350BF"/>
    <w:rsid w:val="00437820"/>
    <w:rsid w:val="00437F93"/>
    <w:rsid w:val="004419CF"/>
    <w:rsid w:val="00442988"/>
    <w:rsid w:val="00443362"/>
    <w:rsid w:val="00443436"/>
    <w:rsid w:val="0044378E"/>
    <w:rsid w:val="0044486B"/>
    <w:rsid w:val="00446477"/>
    <w:rsid w:val="0044760D"/>
    <w:rsid w:val="004506B1"/>
    <w:rsid w:val="004518A5"/>
    <w:rsid w:val="00453A37"/>
    <w:rsid w:val="00453B24"/>
    <w:rsid w:val="004544F9"/>
    <w:rsid w:val="00454500"/>
    <w:rsid w:val="004559E9"/>
    <w:rsid w:val="00456C10"/>
    <w:rsid w:val="00456CA9"/>
    <w:rsid w:val="00460A15"/>
    <w:rsid w:val="00460E40"/>
    <w:rsid w:val="00461860"/>
    <w:rsid w:val="00461F8E"/>
    <w:rsid w:val="00463B90"/>
    <w:rsid w:val="00464466"/>
    <w:rsid w:val="004649C0"/>
    <w:rsid w:val="004650F6"/>
    <w:rsid w:val="00466D14"/>
    <w:rsid w:val="00467362"/>
    <w:rsid w:val="00467B82"/>
    <w:rsid w:val="00470B91"/>
    <w:rsid w:val="0047128D"/>
    <w:rsid w:val="00473192"/>
    <w:rsid w:val="004744EF"/>
    <w:rsid w:val="004755FD"/>
    <w:rsid w:val="00476101"/>
    <w:rsid w:val="004761F9"/>
    <w:rsid w:val="00476A89"/>
    <w:rsid w:val="0047762F"/>
    <w:rsid w:val="004776FF"/>
    <w:rsid w:val="00477D9C"/>
    <w:rsid w:val="00480D8B"/>
    <w:rsid w:val="00481B25"/>
    <w:rsid w:val="00481C22"/>
    <w:rsid w:val="004878B9"/>
    <w:rsid w:val="00490DF1"/>
    <w:rsid w:val="00491525"/>
    <w:rsid w:val="00491658"/>
    <w:rsid w:val="00491E5A"/>
    <w:rsid w:val="00491E85"/>
    <w:rsid w:val="00493BFB"/>
    <w:rsid w:val="004942CD"/>
    <w:rsid w:val="00494350"/>
    <w:rsid w:val="004948DF"/>
    <w:rsid w:val="00494B0B"/>
    <w:rsid w:val="004956BA"/>
    <w:rsid w:val="00496BFB"/>
    <w:rsid w:val="004A2826"/>
    <w:rsid w:val="004A3023"/>
    <w:rsid w:val="004A31BB"/>
    <w:rsid w:val="004A32DE"/>
    <w:rsid w:val="004A3314"/>
    <w:rsid w:val="004A3392"/>
    <w:rsid w:val="004A5369"/>
    <w:rsid w:val="004A65F9"/>
    <w:rsid w:val="004A7B13"/>
    <w:rsid w:val="004B2272"/>
    <w:rsid w:val="004B2616"/>
    <w:rsid w:val="004B354D"/>
    <w:rsid w:val="004B380F"/>
    <w:rsid w:val="004B4EA4"/>
    <w:rsid w:val="004C12EF"/>
    <w:rsid w:val="004C261A"/>
    <w:rsid w:val="004C2905"/>
    <w:rsid w:val="004C50A6"/>
    <w:rsid w:val="004C7D68"/>
    <w:rsid w:val="004D159F"/>
    <w:rsid w:val="004D29F3"/>
    <w:rsid w:val="004D4022"/>
    <w:rsid w:val="004D4B6A"/>
    <w:rsid w:val="004D4BFC"/>
    <w:rsid w:val="004D56A7"/>
    <w:rsid w:val="004E0196"/>
    <w:rsid w:val="004E136E"/>
    <w:rsid w:val="004E33E0"/>
    <w:rsid w:val="004E50EE"/>
    <w:rsid w:val="004E53FD"/>
    <w:rsid w:val="004E5D24"/>
    <w:rsid w:val="004E7318"/>
    <w:rsid w:val="004F0F9F"/>
    <w:rsid w:val="004F2FA5"/>
    <w:rsid w:val="004F302F"/>
    <w:rsid w:val="004F327A"/>
    <w:rsid w:val="004F4667"/>
    <w:rsid w:val="004F4B12"/>
    <w:rsid w:val="004F5574"/>
    <w:rsid w:val="004F6A16"/>
    <w:rsid w:val="005022AB"/>
    <w:rsid w:val="005044AF"/>
    <w:rsid w:val="00504A7D"/>
    <w:rsid w:val="005062CE"/>
    <w:rsid w:val="005065F7"/>
    <w:rsid w:val="005109F0"/>
    <w:rsid w:val="00510BB3"/>
    <w:rsid w:val="00513748"/>
    <w:rsid w:val="005138BB"/>
    <w:rsid w:val="0051614F"/>
    <w:rsid w:val="0051792B"/>
    <w:rsid w:val="005207FD"/>
    <w:rsid w:val="0052098B"/>
    <w:rsid w:val="00520AC1"/>
    <w:rsid w:val="005210AC"/>
    <w:rsid w:val="00522F76"/>
    <w:rsid w:val="00523BBC"/>
    <w:rsid w:val="00525106"/>
    <w:rsid w:val="00525B33"/>
    <w:rsid w:val="00525D2E"/>
    <w:rsid w:val="005267BC"/>
    <w:rsid w:val="00527099"/>
    <w:rsid w:val="00537458"/>
    <w:rsid w:val="00537A39"/>
    <w:rsid w:val="005402A3"/>
    <w:rsid w:val="00541C57"/>
    <w:rsid w:val="00542677"/>
    <w:rsid w:val="00542A08"/>
    <w:rsid w:val="0054364B"/>
    <w:rsid w:val="005441B0"/>
    <w:rsid w:val="00544659"/>
    <w:rsid w:val="00545E85"/>
    <w:rsid w:val="00546439"/>
    <w:rsid w:val="00546DDB"/>
    <w:rsid w:val="00550F15"/>
    <w:rsid w:val="0055146D"/>
    <w:rsid w:val="00551504"/>
    <w:rsid w:val="0055218E"/>
    <w:rsid w:val="00552AE1"/>
    <w:rsid w:val="00552B7C"/>
    <w:rsid w:val="005611EF"/>
    <w:rsid w:val="0056213B"/>
    <w:rsid w:val="00564ABB"/>
    <w:rsid w:val="00564DC2"/>
    <w:rsid w:val="005675AA"/>
    <w:rsid w:val="00567B30"/>
    <w:rsid w:val="00567D81"/>
    <w:rsid w:val="00570194"/>
    <w:rsid w:val="0057091D"/>
    <w:rsid w:val="00572229"/>
    <w:rsid w:val="00573145"/>
    <w:rsid w:val="00573B90"/>
    <w:rsid w:val="005742D2"/>
    <w:rsid w:val="00574EE8"/>
    <w:rsid w:val="005751DB"/>
    <w:rsid w:val="00575354"/>
    <w:rsid w:val="00575727"/>
    <w:rsid w:val="0057680C"/>
    <w:rsid w:val="00577060"/>
    <w:rsid w:val="0057706B"/>
    <w:rsid w:val="005801E1"/>
    <w:rsid w:val="00580DAA"/>
    <w:rsid w:val="00582130"/>
    <w:rsid w:val="00582472"/>
    <w:rsid w:val="0058462B"/>
    <w:rsid w:val="00585E61"/>
    <w:rsid w:val="005860B9"/>
    <w:rsid w:val="00586F62"/>
    <w:rsid w:val="0058743A"/>
    <w:rsid w:val="00587B3E"/>
    <w:rsid w:val="00587CCB"/>
    <w:rsid w:val="00590BF6"/>
    <w:rsid w:val="00591A5F"/>
    <w:rsid w:val="0059253D"/>
    <w:rsid w:val="00594DDE"/>
    <w:rsid w:val="0059661E"/>
    <w:rsid w:val="00597789"/>
    <w:rsid w:val="005A2907"/>
    <w:rsid w:val="005A2B73"/>
    <w:rsid w:val="005A368E"/>
    <w:rsid w:val="005A3DE9"/>
    <w:rsid w:val="005A4C75"/>
    <w:rsid w:val="005A590D"/>
    <w:rsid w:val="005A6393"/>
    <w:rsid w:val="005A78FB"/>
    <w:rsid w:val="005B0483"/>
    <w:rsid w:val="005B3F6D"/>
    <w:rsid w:val="005B4CC3"/>
    <w:rsid w:val="005B6D74"/>
    <w:rsid w:val="005B7BFB"/>
    <w:rsid w:val="005C01FA"/>
    <w:rsid w:val="005C11BE"/>
    <w:rsid w:val="005C1444"/>
    <w:rsid w:val="005D10B5"/>
    <w:rsid w:val="005D32A1"/>
    <w:rsid w:val="005D339D"/>
    <w:rsid w:val="005D49D4"/>
    <w:rsid w:val="005E13B0"/>
    <w:rsid w:val="005E23EC"/>
    <w:rsid w:val="005E271F"/>
    <w:rsid w:val="005E3BF1"/>
    <w:rsid w:val="005E4ADF"/>
    <w:rsid w:val="005F1805"/>
    <w:rsid w:val="005F2F01"/>
    <w:rsid w:val="005F3147"/>
    <w:rsid w:val="005F4E08"/>
    <w:rsid w:val="005F6D8A"/>
    <w:rsid w:val="00600600"/>
    <w:rsid w:val="00600CA8"/>
    <w:rsid w:val="006035DD"/>
    <w:rsid w:val="00605170"/>
    <w:rsid w:val="006103C6"/>
    <w:rsid w:val="00614A6A"/>
    <w:rsid w:val="006177C2"/>
    <w:rsid w:val="00621754"/>
    <w:rsid w:val="00621C2A"/>
    <w:rsid w:val="00623152"/>
    <w:rsid w:val="00623C35"/>
    <w:rsid w:val="006240B7"/>
    <w:rsid w:val="006248CF"/>
    <w:rsid w:val="00625956"/>
    <w:rsid w:val="00626329"/>
    <w:rsid w:val="00627F16"/>
    <w:rsid w:val="00631223"/>
    <w:rsid w:val="00631BCC"/>
    <w:rsid w:val="00633EA6"/>
    <w:rsid w:val="0063780D"/>
    <w:rsid w:val="006426FD"/>
    <w:rsid w:val="00642F54"/>
    <w:rsid w:val="00644664"/>
    <w:rsid w:val="006448FD"/>
    <w:rsid w:val="006457C5"/>
    <w:rsid w:val="00647127"/>
    <w:rsid w:val="00650041"/>
    <w:rsid w:val="006515A2"/>
    <w:rsid w:val="00657FB3"/>
    <w:rsid w:val="006600E7"/>
    <w:rsid w:val="00660B6C"/>
    <w:rsid w:val="00662D50"/>
    <w:rsid w:val="0066350B"/>
    <w:rsid w:val="00663FF5"/>
    <w:rsid w:val="00664BDC"/>
    <w:rsid w:val="00667B41"/>
    <w:rsid w:val="00667F28"/>
    <w:rsid w:val="00670780"/>
    <w:rsid w:val="0067130A"/>
    <w:rsid w:val="00672A7B"/>
    <w:rsid w:val="00674BF8"/>
    <w:rsid w:val="00676E4D"/>
    <w:rsid w:val="006777C3"/>
    <w:rsid w:val="00677D3C"/>
    <w:rsid w:val="00680915"/>
    <w:rsid w:val="006810DE"/>
    <w:rsid w:val="0068185E"/>
    <w:rsid w:val="00681D41"/>
    <w:rsid w:val="0068261E"/>
    <w:rsid w:val="00682827"/>
    <w:rsid w:val="00682AB9"/>
    <w:rsid w:val="00684225"/>
    <w:rsid w:val="006852C0"/>
    <w:rsid w:val="0069046F"/>
    <w:rsid w:val="0069200B"/>
    <w:rsid w:val="00692E10"/>
    <w:rsid w:val="006945FA"/>
    <w:rsid w:val="00697722"/>
    <w:rsid w:val="00697C47"/>
    <w:rsid w:val="006A1F54"/>
    <w:rsid w:val="006A26A3"/>
    <w:rsid w:val="006A5661"/>
    <w:rsid w:val="006A58A3"/>
    <w:rsid w:val="006A69BF"/>
    <w:rsid w:val="006A71AD"/>
    <w:rsid w:val="006B25E5"/>
    <w:rsid w:val="006B2E8F"/>
    <w:rsid w:val="006B3A69"/>
    <w:rsid w:val="006B44DF"/>
    <w:rsid w:val="006B463C"/>
    <w:rsid w:val="006B52F4"/>
    <w:rsid w:val="006B5E5C"/>
    <w:rsid w:val="006B702A"/>
    <w:rsid w:val="006B75A3"/>
    <w:rsid w:val="006C1F4B"/>
    <w:rsid w:val="006C234F"/>
    <w:rsid w:val="006C44E4"/>
    <w:rsid w:val="006C45B7"/>
    <w:rsid w:val="006C47BE"/>
    <w:rsid w:val="006C58E2"/>
    <w:rsid w:val="006C6FC3"/>
    <w:rsid w:val="006D112B"/>
    <w:rsid w:val="006D1EDB"/>
    <w:rsid w:val="006D4051"/>
    <w:rsid w:val="006D4DB5"/>
    <w:rsid w:val="006D5DE4"/>
    <w:rsid w:val="006D6399"/>
    <w:rsid w:val="006D65DB"/>
    <w:rsid w:val="006D6CB5"/>
    <w:rsid w:val="006D79B8"/>
    <w:rsid w:val="006E06D5"/>
    <w:rsid w:val="006E13E7"/>
    <w:rsid w:val="006E3EFC"/>
    <w:rsid w:val="006E4021"/>
    <w:rsid w:val="006E4F47"/>
    <w:rsid w:val="006E572E"/>
    <w:rsid w:val="006E5C77"/>
    <w:rsid w:val="006E6972"/>
    <w:rsid w:val="006E6E08"/>
    <w:rsid w:val="006E79C5"/>
    <w:rsid w:val="006E7EF8"/>
    <w:rsid w:val="006F014D"/>
    <w:rsid w:val="006F0AC8"/>
    <w:rsid w:val="006F0B11"/>
    <w:rsid w:val="006F0E45"/>
    <w:rsid w:val="006F32C2"/>
    <w:rsid w:val="006F3C80"/>
    <w:rsid w:val="006F5502"/>
    <w:rsid w:val="006F5C17"/>
    <w:rsid w:val="006F5E9B"/>
    <w:rsid w:val="006F5F29"/>
    <w:rsid w:val="007002BD"/>
    <w:rsid w:val="00701E62"/>
    <w:rsid w:val="00703667"/>
    <w:rsid w:val="00703733"/>
    <w:rsid w:val="00704BC8"/>
    <w:rsid w:val="00705769"/>
    <w:rsid w:val="007057E2"/>
    <w:rsid w:val="007066C6"/>
    <w:rsid w:val="00706F13"/>
    <w:rsid w:val="00711D0C"/>
    <w:rsid w:val="0071206D"/>
    <w:rsid w:val="00713510"/>
    <w:rsid w:val="00713DCB"/>
    <w:rsid w:val="007144AA"/>
    <w:rsid w:val="00715E64"/>
    <w:rsid w:val="00716808"/>
    <w:rsid w:val="00716EF9"/>
    <w:rsid w:val="0071778B"/>
    <w:rsid w:val="007227A0"/>
    <w:rsid w:val="00722CB9"/>
    <w:rsid w:val="007234B7"/>
    <w:rsid w:val="007237D2"/>
    <w:rsid w:val="007247F2"/>
    <w:rsid w:val="00724B56"/>
    <w:rsid w:val="007267E3"/>
    <w:rsid w:val="007323D5"/>
    <w:rsid w:val="007334C5"/>
    <w:rsid w:val="00736C4C"/>
    <w:rsid w:val="00737DA3"/>
    <w:rsid w:val="00737EDD"/>
    <w:rsid w:val="00740206"/>
    <w:rsid w:val="00740E5B"/>
    <w:rsid w:val="0074276A"/>
    <w:rsid w:val="00744DB3"/>
    <w:rsid w:val="00747215"/>
    <w:rsid w:val="00747CC6"/>
    <w:rsid w:val="007509CB"/>
    <w:rsid w:val="00751B85"/>
    <w:rsid w:val="00752A8B"/>
    <w:rsid w:val="00752CA7"/>
    <w:rsid w:val="00755ECC"/>
    <w:rsid w:val="00757B6F"/>
    <w:rsid w:val="0076068F"/>
    <w:rsid w:val="00761D46"/>
    <w:rsid w:val="00762580"/>
    <w:rsid w:val="00762E79"/>
    <w:rsid w:val="007636C8"/>
    <w:rsid w:val="00765768"/>
    <w:rsid w:val="007658CA"/>
    <w:rsid w:val="00767F1D"/>
    <w:rsid w:val="007707F8"/>
    <w:rsid w:val="007717A9"/>
    <w:rsid w:val="00771EB0"/>
    <w:rsid w:val="007731C9"/>
    <w:rsid w:val="0077391B"/>
    <w:rsid w:val="00773E26"/>
    <w:rsid w:val="007740D1"/>
    <w:rsid w:val="00774B39"/>
    <w:rsid w:val="007752D4"/>
    <w:rsid w:val="007765B3"/>
    <w:rsid w:val="00777385"/>
    <w:rsid w:val="00777496"/>
    <w:rsid w:val="0077765F"/>
    <w:rsid w:val="00777CBB"/>
    <w:rsid w:val="0078119E"/>
    <w:rsid w:val="007816A9"/>
    <w:rsid w:val="00781F4F"/>
    <w:rsid w:val="007831D8"/>
    <w:rsid w:val="00784D01"/>
    <w:rsid w:val="00785F75"/>
    <w:rsid w:val="007901E5"/>
    <w:rsid w:val="00790EA3"/>
    <w:rsid w:val="00793032"/>
    <w:rsid w:val="007934DF"/>
    <w:rsid w:val="007936F9"/>
    <w:rsid w:val="00793982"/>
    <w:rsid w:val="0079539A"/>
    <w:rsid w:val="00795AFD"/>
    <w:rsid w:val="00795BF3"/>
    <w:rsid w:val="007A00DF"/>
    <w:rsid w:val="007A0BC4"/>
    <w:rsid w:val="007A2DBB"/>
    <w:rsid w:val="007A358C"/>
    <w:rsid w:val="007A4CAF"/>
    <w:rsid w:val="007A5BF4"/>
    <w:rsid w:val="007A73EC"/>
    <w:rsid w:val="007A780A"/>
    <w:rsid w:val="007B0487"/>
    <w:rsid w:val="007B1D7D"/>
    <w:rsid w:val="007B1E92"/>
    <w:rsid w:val="007B2D63"/>
    <w:rsid w:val="007B327B"/>
    <w:rsid w:val="007B35A4"/>
    <w:rsid w:val="007B3843"/>
    <w:rsid w:val="007B4FEF"/>
    <w:rsid w:val="007B6090"/>
    <w:rsid w:val="007B65C1"/>
    <w:rsid w:val="007B7240"/>
    <w:rsid w:val="007B76BA"/>
    <w:rsid w:val="007B76D4"/>
    <w:rsid w:val="007B79BB"/>
    <w:rsid w:val="007B7B70"/>
    <w:rsid w:val="007C0718"/>
    <w:rsid w:val="007C1262"/>
    <w:rsid w:val="007C40DF"/>
    <w:rsid w:val="007C609E"/>
    <w:rsid w:val="007D0969"/>
    <w:rsid w:val="007D1DF8"/>
    <w:rsid w:val="007D2584"/>
    <w:rsid w:val="007D39F0"/>
    <w:rsid w:val="007D4185"/>
    <w:rsid w:val="007D48EB"/>
    <w:rsid w:val="007D56EE"/>
    <w:rsid w:val="007D7314"/>
    <w:rsid w:val="007E16FC"/>
    <w:rsid w:val="007E1AF0"/>
    <w:rsid w:val="007E367A"/>
    <w:rsid w:val="007E40EA"/>
    <w:rsid w:val="007E424A"/>
    <w:rsid w:val="007E4A77"/>
    <w:rsid w:val="007E4F27"/>
    <w:rsid w:val="007E6A03"/>
    <w:rsid w:val="007E6B19"/>
    <w:rsid w:val="007E7041"/>
    <w:rsid w:val="007E7082"/>
    <w:rsid w:val="007F18FF"/>
    <w:rsid w:val="007F2D30"/>
    <w:rsid w:val="007F5278"/>
    <w:rsid w:val="007F71CE"/>
    <w:rsid w:val="008007A8"/>
    <w:rsid w:val="00800ABC"/>
    <w:rsid w:val="00802B67"/>
    <w:rsid w:val="00804555"/>
    <w:rsid w:val="00807322"/>
    <w:rsid w:val="00807818"/>
    <w:rsid w:val="0081007B"/>
    <w:rsid w:val="00810534"/>
    <w:rsid w:val="00810A0F"/>
    <w:rsid w:val="00812A01"/>
    <w:rsid w:val="0081346D"/>
    <w:rsid w:val="00815319"/>
    <w:rsid w:val="00820613"/>
    <w:rsid w:val="0082100C"/>
    <w:rsid w:val="00821982"/>
    <w:rsid w:val="00822B7C"/>
    <w:rsid w:val="0082439C"/>
    <w:rsid w:val="0082509E"/>
    <w:rsid w:val="00827416"/>
    <w:rsid w:val="008279C2"/>
    <w:rsid w:val="00834706"/>
    <w:rsid w:val="00834E15"/>
    <w:rsid w:val="00837222"/>
    <w:rsid w:val="00837B60"/>
    <w:rsid w:val="00842883"/>
    <w:rsid w:val="00842E69"/>
    <w:rsid w:val="008447DA"/>
    <w:rsid w:val="00845A1C"/>
    <w:rsid w:val="008463D7"/>
    <w:rsid w:val="00846A2F"/>
    <w:rsid w:val="0084741A"/>
    <w:rsid w:val="008504B5"/>
    <w:rsid w:val="00850B46"/>
    <w:rsid w:val="00851BB1"/>
    <w:rsid w:val="0085276D"/>
    <w:rsid w:val="008555C4"/>
    <w:rsid w:val="00855651"/>
    <w:rsid w:val="0086161A"/>
    <w:rsid w:val="008633BA"/>
    <w:rsid w:val="00864D71"/>
    <w:rsid w:val="00867BF5"/>
    <w:rsid w:val="008708F2"/>
    <w:rsid w:val="00871C9F"/>
    <w:rsid w:val="00871F4A"/>
    <w:rsid w:val="0087250C"/>
    <w:rsid w:val="008726B0"/>
    <w:rsid w:val="008735C3"/>
    <w:rsid w:val="0087362D"/>
    <w:rsid w:val="00875911"/>
    <w:rsid w:val="0088024A"/>
    <w:rsid w:val="00880719"/>
    <w:rsid w:val="00882779"/>
    <w:rsid w:val="0088292E"/>
    <w:rsid w:val="008829A0"/>
    <w:rsid w:val="00885669"/>
    <w:rsid w:val="00887F57"/>
    <w:rsid w:val="00891F7A"/>
    <w:rsid w:val="00892083"/>
    <w:rsid w:val="0089208F"/>
    <w:rsid w:val="008935ED"/>
    <w:rsid w:val="00894466"/>
    <w:rsid w:val="00895893"/>
    <w:rsid w:val="00896121"/>
    <w:rsid w:val="00896681"/>
    <w:rsid w:val="008967C1"/>
    <w:rsid w:val="00897E0A"/>
    <w:rsid w:val="00897E41"/>
    <w:rsid w:val="008A2DB1"/>
    <w:rsid w:val="008A4684"/>
    <w:rsid w:val="008A61CC"/>
    <w:rsid w:val="008A73DA"/>
    <w:rsid w:val="008B03BD"/>
    <w:rsid w:val="008B23E1"/>
    <w:rsid w:val="008B2A90"/>
    <w:rsid w:val="008B6C57"/>
    <w:rsid w:val="008B7AD4"/>
    <w:rsid w:val="008B7CB9"/>
    <w:rsid w:val="008C26F3"/>
    <w:rsid w:val="008C2A7F"/>
    <w:rsid w:val="008C33DC"/>
    <w:rsid w:val="008C3EFD"/>
    <w:rsid w:val="008C40EB"/>
    <w:rsid w:val="008C731D"/>
    <w:rsid w:val="008C7BEE"/>
    <w:rsid w:val="008D085F"/>
    <w:rsid w:val="008D165A"/>
    <w:rsid w:val="008D3116"/>
    <w:rsid w:val="008D3291"/>
    <w:rsid w:val="008D390A"/>
    <w:rsid w:val="008D56DF"/>
    <w:rsid w:val="008D7A92"/>
    <w:rsid w:val="008E018E"/>
    <w:rsid w:val="008E1527"/>
    <w:rsid w:val="008E4B76"/>
    <w:rsid w:val="008E65A4"/>
    <w:rsid w:val="008E6E20"/>
    <w:rsid w:val="008E701E"/>
    <w:rsid w:val="008E7BAD"/>
    <w:rsid w:val="008F0AC4"/>
    <w:rsid w:val="008F100C"/>
    <w:rsid w:val="008F1570"/>
    <w:rsid w:val="008F2903"/>
    <w:rsid w:val="008F2BE0"/>
    <w:rsid w:val="008F35C2"/>
    <w:rsid w:val="008F4B47"/>
    <w:rsid w:val="008F52D3"/>
    <w:rsid w:val="008F6F03"/>
    <w:rsid w:val="008F7A97"/>
    <w:rsid w:val="008F7F3D"/>
    <w:rsid w:val="008F7FAA"/>
    <w:rsid w:val="008F7FF9"/>
    <w:rsid w:val="009008EB"/>
    <w:rsid w:val="00900DF0"/>
    <w:rsid w:val="00901209"/>
    <w:rsid w:val="00902822"/>
    <w:rsid w:val="009060A6"/>
    <w:rsid w:val="00906275"/>
    <w:rsid w:val="0090651D"/>
    <w:rsid w:val="009071F8"/>
    <w:rsid w:val="00913500"/>
    <w:rsid w:val="00913E22"/>
    <w:rsid w:val="009140D6"/>
    <w:rsid w:val="009147C8"/>
    <w:rsid w:val="0091538F"/>
    <w:rsid w:val="00915E26"/>
    <w:rsid w:val="00917599"/>
    <w:rsid w:val="00923E6F"/>
    <w:rsid w:val="00924053"/>
    <w:rsid w:val="00924F90"/>
    <w:rsid w:val="00931790"/>
    <w:rsid w:val="00931D46"/>
    <w:rsid w:val="0093272F"/>
    <w:rsid w:val="00932D40"/>
    <w:rsid w:val="0093306F"/>
    <w:rsid w:val="00933271"/>
    <w:rsid w:val="00935317"/>
    <w:rsid w:val="00935552"/>
    <w:rsid w:val="00935D22"/>
    <w:rsid w:val="00936559"/>
    <w:rsid w:val="00937D03"/>
    <w:rsid w:val="00937EEC"/>
    <w:rsid w:val="009410D8"/>
    <w:rsid w:val="009424B6"/>
    <w:rsid w:val="00943722"/>
    <w:rsid w:val="009445FE"/>
    <w:rsid w:val="00944A50"/>
    <w:rsid w:val="00945A9E"/>
    <w:rsid w:val="00946C9F"/>
    <w:rsid w:val="00950453"/>
    <w:rsid w:val="009509CA"/>
    <w:rsid w:val="009514AE"/>
    <w:rsid w:val="009526BD"/>
    <w:rsid w:val="00952A1E"/>
    <w:rsid w:val="00952EEA"/>
    <w:rsid w:val="00953949"/>
    <w:rsid w:val="009543BF"/>
    <w:rsid w:val="009546C7"/>
    <w:rsid w:val="00954E40"/>
    <w:rsid w:val="0095516C"/>
    <w:rsid w:val="00955506"/>
    <w:rsid w:val="009559DE"/>
    <w:rsid w:val="00957B37"/>
    <w:rsid w:val="0096010B"/>
    <w:rsid w:val="00960C09"/>
    <w:rsid w:val="00961196"/>
    <w:rsid w:val="00961207"/>
    <w:rsid w:val="00962FF2"/>
    <w:rsid w:val="00963793"/>
    <w:rsid w:val="009640D7"/>
    <w:rsid w:val="00964DAD"/>
    <w:rsid w:val="00964E1C"/>
    <w:rsid w:val="00966379"/>
    <w:rsid w:val="009667C2"/>
    <w:rsid w:val="00966F55"/>
    <w:rsid w:val="00967A38"/>
    <w:rsid w:val="00967C4B"/>
    <w:rsid w:val="00971CBC"/>
    <w:rsid w:val="00971F94"/>
    <w:rsid w:val="0097283E"/>
    <w:rsid w:val="00972E63"/>
    <w:rsid w:val="00973980"/>
    <w:rsid w:val="00974A0F"/>
    <w:rsid w:val="0097524C"/>
    <w:rsid w:val="00980891"/>
    <w:rsid w:val="00980ADF"/>
    <w:rsid w:val="0098148B"/>
    <w:rsid w:val="00981E40"/>
    <w:rsid w:val="00983D0B"/>
    <w:rsid w:val="0098445D"/>
    <w:rsid w:val="00987078"/>
    <w:rsid w:val="009879B8"/>
    <w:rsid w:val="00987BBF"/>
    <w:rsid w:val="0099026C"/>
    <w:rsid w:val="00990602"/>
    <w:rsid w:val="00990C3B"/>
    <w:rsid w:val="00993076"/>
    <w:rsid w:val="009945E2"/>
    <w:rsid w:val="00995AE1"/>
    <w:rsid w:val="00996A79"/>
    <w:rsid w:val="0099763C"/>
    <w:rsid w:val="009A1C5A"/>
    <w:rsid w:val="009A217A"/>
    <w:rsid w:val="009A332B"/>
    <w:rsid w:val="009A38BB"/>
    <w:rsid w:val="009A4704"/>
    <w:rsid w:val="009A4BAA"/>
    <w:rsid w:val="009A6329"/>
    <w:rsid w:val="009A7741"/>
    <w:rsid w:val="009B2EDF"/>
    <w:rsid w:val="009B4394"/>
    <w:rsid w:val="009B492B"/>
    <w:rsid w:val="009B4DCE"/>
    <w:rsid w:val="009B5288"/>
    <w:rsid w:val="009B55C7"/>
    <w:rsid w:val="009B7B2A"/>
    <w:rsid w:val="009B7E66"/>
    <w:rsid w:val="009C0BFF"/>
    <w:rsid w:val="009C1885"/>
    <w:rsid w:val="009C23A4"/>
    <w:rsid w:val="009C4966"/>
    <w:rsid w:val="009C4D82"/>
    <w:rsid w:val="009C62C5"/>
    <w:rsid w:val="009C71CB"/>
    <w:rsid w:val="009C7BB9"/>
    <w:rsid w:val="009D0781"/>
    <w:rsid w:val="009D110C"/>
    <w:rsid w:val="009D1AD8"/>
    <w:rsid w:val="009D2FAB"/>
    <w:rsid w:val="009D3ED5"/>
    <w:rsid w:val="009D44FC"/>
    <w:rsid w:val="009D52FF"/>
    <w:rsid w:val="009D556C"/>
    <w:rsid w:val="009D5DBF"/>
    <w:rsid w:val="009D65ED"/>
    <w:rsid w:val="009D6A9A"/>
    <w:rsid w:val="009D7A9D"/>
    <w:rsid w:val="009E0F4B"/>
    <w:rsid w:val="009F0BA6"/>
    <w:rsid w:val="009F0D61"/>
    <w:rsid w:val="009F1585"/>
    <w:rsid w:val="009F1ABC"/>
    <w:rsid w:val="009F3199"/>
    <w:rsid w:val="009F38BD"/>
    <w:rsid w:val="009F6436"/>
    <w:rsid w:val="009F6A6C"/>
    <w:rsid w:val="009F6C95"/>
    <w:rsid w:val="009F7294"/>
    <w:rsid w:val="009F7A0A"/>
    <w:rsid w:val="00A01E95"/>
    <w:rsid w:val="00A038E7"/>
    <w:rsid w:val="00A0525C"/>
    <w:rsid w:val="00A1298F"/>
    <w:rsid w:val="00A13722"/>
    <w:rsid w:val="00A14D36"/>
    <w:rsid w:val="00A1597B"/>
    <w:rsid w:val="00A1749B"/>
    <w:rsid w:val="00A17684"/>
    <w:rsid w:val="00A17CDC"/>
    <w:rsid w:val="00A22DF4"/>
    <w:rsid w:val="00A240E7"/>
    <w:rsid w:val="00A25391"/>
    <w:rsid w:val="00A27030"/>
    <w:rsid w:val="00A30C4F"/>
    <w:rsid w:val="00A30C62"/>
    <w:rsid w:val="00A3153C"/>
    <w:rsid w:val="00A33080"/>
    <w:rsid w:val="00A41EDC"/>
    <w:rsid w:val="00A43DE1"/>
    <w:rsid w:val="00A440D2"/>
    <w:rsid w:val="00A44E5B"/>
    <w:rsid w:val="00A45087"/>
    <w:rsid w:val="00A471CE"/>
    <w:rsid w:val="00A53DF1"/>
    <w:rsid w:val="00A5557F"/>
    <w:rsid w:val="00A608A0"/>
    <w:rsid w:val="00A60A53"/>
    <w:rsid w:val="00A60BF2"/>
    <w:rsid w:val="00A61117"/>
    <w:rsid w:val="00A625C1"/>
    <w:rsid w:val="00A632BA"/>
    <w:rsid w:val="00A637B3"/>
    <w:rsid w:val="00A64165"/>
    <w:rsid w:val="00A6640A"/>
    <w:rsid w:val="00A71152"/>
    <w:rsid w:val="00A7122D"/>
    <w:rsid w:val="00A7475C"/>
    <w:rsid w:val="00A74E52"/>
    <w:rsid w:val="00A74E6D"/>
    <w:rsid w:val="00A81EDF"/>
    <w:rsid w:val="00A833AD"/>
    <w:rsid w:val="00A84D58"/>
    <w:rsid w:val="00A854A8"/>
    <w:rsid w:val="00A8686A"/>
    <w:rsid w:val="00A879AB"/>
    <w:rsid w:val="00A92052"/>
    <w:rsid w:val="00A9272F"/>
    <w:rsid w:val="00A9384C"/>
    <w:rsid w:val="00A93BF1"/>
    <w:rsid w:val="00A93E59"/>
    <w:rsid w:val="00A93F09"/>
    <w:rsid w:val="00A94422"/>
    <w:rsid w:val="00A948FB"/>
    <w:rsid w:val="00AA2ED0"/>
    <w:rsid w:val="00AA59E4"/>
    <w:rsid w:val="00AA5BC6"/>
    <w:rsid w:val="00AA6D8E"/>
    <w:rsid w:val="00AB1B07"/>
    <w:rsid w:val="00AB378A"/>
    <w:rsid w:val="00AB4943"/>
    <w:rsid w:val="00AB602C"/>
    <w:rsid w:val="00AB60C5"/>
    <w:rsid w:val="00AC30E6"/>
    <w:rsid w:val="00AC679D"/>
    <w:rsid w:val="00AC6CDC"/>
    <w:rsid w:val="00AD0472"/>
    <w:rsid w:val="00AD1FC3"/>
    <w:rsid w:val="00AD2DAC"/>
    <w:rsid w:val="00AD3BC6"/>
    <w:rsid w:val="00AD4320"/>
    <w:rsid w:val="00AD46E5"/>
    <w:rsid w:val="00AD473B"/>
    <w:rsid w:val="00AD4FC2"/>
    <w:rsid w:val="00AD5095"/>
    <w:rsid w:val="00AD5868"/>
    <w:rsid w:val="00AD6ED4"/>
    <w:rsid w:val="00AE0AF6"/>
    <w:rsid w:val="00AE1098"/>
    <w:rsid w:val="00AE64E4"/>
    <w:rsid w:val="00AE76B1"/>
    <w:rsid w:val="00AF14F0"/>
    <w:rsid w:val="00AF27C2"/>
    <w:rsid w:val="00AF28DF"/>
    <w:rsid w:val="00AF2BAD"/>
    <w:rsid w:val="00AF3E85"/>
    <w:rsid w:val="00AF522A"/>
    <w:rsid w:val="00AF576F"/>
    <w:rsid w:val="00AF5D2B"/>
    <w:rsid w:val="00AF5EF5"/>
    <w:rsid w:val="00AF77B3"/>
    <w:rsid w:val="00AF7C22"/>
    <w:rsid w:val="00B015EA"/>
    <w:rsid w:val="00B01841"/>
    <w:rsid w:val="00B04353"/>
    <w:rsid w:val="00B04F6F"/>
    <w:rsid w:val="00B12E12"/>
    <w:rsid w:val="00B13FB1"/>
    <w:rsid w:val="00B14010"/>
    <w:rsid w:val="00B14971"/>
    <w:rsid w:val="00B15496"/>
    <w:rsid w:val="00B17BC9"/>
    <w:rsid w:val="00B20CB2"/>
    <w:rsid w:val="00B21AC7"/>
    <w:rsid w:val="00B21BD1"/>
    <w:rsid w:val="00B23816"/>
    <w:rsid w:val="00B239DC"/>
    <w:rsid w:val="00B23E94"/>
    <w:rsid w:val="00B26316"/>
    <w:rsid w:val="00B26542"/>
    <w:rsid w:val="00B26FA3"/>
    <w:rsid w:val="00B273BB"/>
    <w:rsid w:val="00B27F9E"/>
    <w:rsid w:val="00B307BB"/>
    <w:rsid w:val="00B30A9E"/>
    <w:rsid w:val="00B31416"/>
    <w:rsid w:val="00B31CAB"/>
    <w:rsid w:val="00B32BB3"/>
    <w:rsid w:val="00B32C39"/>
    <w:rsid w:val="00B33469"/>
    <w:rsid w:val="00B347A0"/>
    <w:rsid w:val="00B36263"/>
    <w:rsid w:val="00B40844"/>
    <w:rsid w:val="00B40E3E"/>
    <w:rsid w:val="00B41CFE"/>
    <w:rsid w:val="00B42756"/>
    <w:rsid w:val="00B42760"/>
    <w:rsid w:val="00B42F9A"/>
    <w:rsid w:val="00B4492A"/>
    <w:rsid w:val="00B45337"/>
    <w:rsid w:val="00B46251"/>
    <w:rsid w:val="00B4683B"/>
    <w:rsid w:val="00B515DE"/>
    <w:rsid w:val="00B534DE"/>
    <w:rsid w:val="00B54D09"/>
    <w:rsid w:val="00B57287"/>
    <w:rsid w:val="00B57AEE"/>
    <w:rsid w:val="00B63288"/>
    <w:rsid w:val="00B6341A"/>
    <w:rsid w:val="00B64D74"/>
    <w:rsid w:val="00B64E63"/>
    <w:rsid w:val="00B65426"/>
    <w:rsid w:val="00B65817"/>
    <w:rsid w:val="00B65FF0"/>
    <w:rsid w:val="00B6645D"/>
    <w:rsid w:val="00B671D4"/>
    <w:rsid w:val="00B673F8"/>
    <w:rsid w:val="00B70E1C"/>
    <w:rsid w:val="00B724C3"/>
    <w:rsid w:val="00B72C4D"/>
    <w:rsid w:val="00B73139"/>
    <w:rsid w:val="00B74E5C"/>
    <w:rsid w:val="00B756B6"/>
    <w:rsid w:val="00B80308"/>
    <w:rsid w:val="00B80624"/>
    <w:rsid w:val="00B8469B"/>
    <w:rsid w:val="00B85F17"/>
    <w:rsid w:val="00B86368"/>
    <w:rsid w:val="00B90899"/>
    <w:rsid w:val="00B91C68"/>
    <w:rsid w:val="00B91FC0"/>
    <w:rsid w:val="00B9319A"/>
    <w:rsid w:val="00B947D8"/>
    <w:rsid w:val="00B950F1"/>
    <w:rsid w:val="00B967ED"/>
    <w:rsid w:val="00B96A1B"/>
    <w:rsid w:val="00B972E9"/>
    <w:rsid w:val="00B9768A"/>
    <w:rsid w:val="00BA0CF1"/>
    <w:rsid w:val="00BA4727"/>
    <w:rsid w:val="00BA6779"/>
    <w:rsid w:val="00BA7F45"/>
    <w:rsid w:val="00BB1930"/>
    <w:rsid w:val="00BB2614"/>
    <w:rsid w:val="00BB3B2E"/>
    <w:rsid w:val="00BB408C"/>
    <w:rsid w:val="00BB6997"/>
    <w:rsid w:val="00BB77E5"/>
    <w:rsid w:val="00BC205E"/>
    <w:rsid w:val="00BC4CFC"/>
    <w:rsid w:val="00BC6314"/>
    <w:rsid w:val="00BD1463"/>
    <w:rsid w:val="00BD4C75"/>
    <w:rsid w:val="00BD7E55"/>
    <w:rsid w:val="00BD7E8C"/>
    <w:rsid w:val="00BD7FA1"/>
    <w:rsid w:val="00BE1169"/>
    <w:rsid w:val="00BE15D1"/>
    <w:rsid w:val="00BE1DC3"/>
    <w:rsid w:val="00BE3008"/>
    <w:rsid w:val="00BE4A67"/>
    <w:rsid w:val="00BE5D4D"/>
    <w:rsid w:val="00BE65D7"/>
    <w:rsid w:val="00BE7D96"/>
    <w:rsid w:val="00BF0C75"/>
    <w:rsid w:val="00BF22D8"/>
    <w:rsid w:val="00BF31DF"/>
    <w:rsid w:val="00BF379E"/>
    <w:rsid w:val="00BF6522"/>
    <w:rsid w:val="00BF7CAD"/>
    <w:rsid w:val="00C02CE3"/>
    <w:rsid w:val="00C03328"/>
    <w:rsid w:val="00C033E7"/>
    <w:rsid w:val="00C037F5"/>
    <w:rsid w:val="00C03946"/>
    <w:rsid w:val="00C03D0E"/>
    <w:rsid w:val="00C04814"/>
    <w:rsid w:val="00C0606B"/>
    <w:rsid w:val="00C07109"/>
    <w:rsid w:val="00C0737A"/>
    <w:rsid w:val="00C07505"/>
    <w:rsid w:val="00C07EFD"/>
    <w:rsid w:val="00C109F4"/>
    <w:rsid w:val="00C10AA8"/>
    <w:rsid w:val="00C11778"/>
    <w:rsid w:val="00C1197C"/>
    <w:rsid w:val="00C12BD4"/>
    <w:rsid w:val="00C134BF"/>
    <w:rsid w:val="00C13C72"/>
    <w:rsid w:val="00C1455D"/>
    <w:rsid w:val="00C14A57"/>
    <w:rsid w:val="00C14BC0"/>
    <w:rsid w:val="00C15954"/>
    <w:rsid w:val="00C15BDF"/>
    <w:rsid w:val="00C20653"/>
    <w:rsid w:val="00C215CB"/>
    <w:rsid w:val="00C27E29"/>
    <w:rsid w:val="00C32212"/>
    <w:rsid w:val="00C3461A"/>
    <w:rsid w:val="00C35D2E"/>
    <w:rsid w:val="00C364C2"/>
    <w:rsid w:val="00C3721E"/>
    <w:rsid w:val="00C37456"/>
    <w:rsid w:val="00C4098F"/>
    <w:rsid w:val="00C41E8A"/>
    <w:rsid w:val="00C43A18"/>
    <w:rsid w:val="00C46FE1"/>
    <w:rsid w:val="00C50D2C"/>
    <w:rsid w:val="00C51FD1"/>
    <w:rsid w:val="00C522B3"/>
    <w:rsid w:val="00C53A76"/>
    <w:rsid w:val="00C54BCF"/>
    <w:rsid w:val="00C56B68"/>
    <w:rsid w:val="00C57F20"/>
    <w:rsid w:val="00C61237"/>
    <w:rsid w:val="00C622C6"/>
    <w:rsid w:val="00C63D0A"/>
    <w:rsid w:val="00C66C72"/>
    <w:rsid w:val="00C704A7"/>
    <w:rsid w:val="00C704AA"/>
    <w:rsid w:val="00C7054A"/>
    <w:rsid w:val="00C71277"/>
    <w:rsid w:val="00C72E85"/>
    <w:rsid w:val="00C73195"/>
    <w:rsid w:val="00C751D6"/>
    <w:rsid w:val="00C7724A"/>
    <w:rsid w:val="00C81EB1"/>
    <w:rsid w:val="00C83358"/>
    <w:rsid w:val="00C84287"/>
    <w:rsid w:val="00C859E3"/>
    <w:rsid w:val="00C85E97"/>
    <w:rsid w:val="00C870E0"/>
    <w:rsid w:val="00C87EC3"/>
    <w:rsid w:val="00C9176B"/>
    <w:rsid w:val="00C92D21"/>
    <w:rsid w:val="00C93123"/>
    <w:rsid w:val="00C93D33"/>
    <w:rsid w:val="00C96599"/>
    <w:rsid w:val="00CA1255"/>
    <w:rsid w:val="00CA3983"/>
    <w:rsid w:val="00CA4650"/>
    <w:rsid w:val="00CB0B37"/>
    <w:rsid w:val="00CB2324"/>
    <w:rsid w:val="00CB72D5"/>
    <w:rsid w:val="00CB7D0E"/>
    <w:rsid w:val="00CC1FCE"/>
    <w:rsid w:val="00CC3516"/>
    <w:rsid w:val="00CC36E2"/>
    <w:rsid w:val="00CC4901"/>
    <w:rsid w:val="00CC5516"/>
    <w:rsid w:val="00CC62A0"/>
    <w:rsid w:val="00CC632C"/>
    <w:rsid w:val="00CD02BA"/>
    <w:rsid w:val="00CD0473"/>
    <w:rsid w:val="00CD04F7"/>
    <w:rsid w:val="00CD149D"/>
    <w:rsid w:val="00CD185F"/>
    <w:rsid w:val="00CD3091"/>
    <w:rsid w:val="00CD4312"/>
    <w:rsid w:val="00CD65C2"/>
    <w:rsid w:val="00CD79D6"/>
    <w:rsid w:val="00CD7B7C"/>
    <w:rsid w:val="00CE285E"/>
    <w:rsid w:val="00CE5639"/>
    <w:rsid w:val="00CE6C8C"/>
    <w:rsid w:val="00CE764B"/>
    <w:rsid w:val="00CF38D2"/>
    <w:rsid w:val="00CF4782"/>
    <w:rsid w:val="00CF52BD"/>
    <w:rsid w:val="00CF6626"/>
    <w:rsid w:val="00CF69E9"/>
    <w:rsid w:val="00CF7E3E"/>
    <w:rsid w:val="00D036AF"/>
    <w:rsid w:val="00D04D76"/>
    <w:rsid w:val="00D05688"/>
    <w:rsid w:val="00D12D28"/>
    <w:rsid w:val="00D14A6E"/>
    <w:rsid w:val="00D16650"/>
    <w:rsid w:val="00D1677B"/>
    <w:rsid w:val="00D2154C"/>
    <w:rsid w:val="00D221D6"/>
    <w:rsid w:val="00D22C78"/>
    <w:rsid w:val="00D23C54"/>
    <w:rsid w:val="00D24CEF"/>
    <w:rsid w:val="00D311D3"/>
    <w:rsid w:val="00D31502"/>
    <w:rsid w:val="00D31559"/>
    <w:rsid w:val="00D35100"/>
    <w:rsid w:val="00D427E5"/>
    <w:rsid w:val="00D43B6E"/>
    <w:rsid w:val="00D43B77"/>
    <w:rsid w:val="00D43E77"/>
    <w:rsid w:val="00D4536A"/>
    <w:rsid w:val="00D46D5E"/>
    <w:rsid w:val="00D47A6A"/>
    <w:rsid w:val="00D47D26"/>
    <w:rsid w:val="00D53238"/>
    <w:rsid w:val="00D532B9"/>
    <w:rsid w:val="00D53B04"/>
    <w:rsid w:val="00D5542C"/>
    <w:rsid w:val="00D55E01"/>
    <w:rsid w:val="00D615AE"/>
    <w:rsid w:val="00D62331"/>
    <w:rsid w:val="00D63CDD"/>
    <w:rsid w:val="00D64026"/>
    <w:rsid w:val="00D6450D"/>
    <w:rsid w:val="00D65F3A"/>
    <w:rsid w:val="00D6734B"/>
    <w:rsid w:val="00D67672"/>
    <w:rsid w:val="00D70CB5"/>
    <w:rsid w:val="00D710FD"/>
    <w:rsid w:val="00D7135A"/>
    <w:rsid w:val="00D7317D"/>
    <w:rsid w:val="00D73509"/>
    <w:rsid w:val="00D74DFA"/>
    <w:rsid w:val="00D751DC"/>
    <w:rsid w:val="00D75A8F"/>
    <w:rsid w:val="00D77081"/>
    <w:rsid w:val="00D80A18"/>
    <w:rsid w:val="00D814D0"/>
    <w:rsid w:val="00D81E61"/>
    <w:rsid w:val="00D824FE"/>
    <w:rsid w:val="00D83DE3"/>
    <w:rsid w:val="00D84159"/>
    <w:rsid w:val="00D85843"/>
    <w:rsid w:val="00D85BCD"/>
    <w:rsid w:val="00D86AFC"/>
    <w:rsid w:val="00D90F3F"/>
    <w:rsid w:val="00D9110E"/>
    <w:rsid w:val="00D914A7"/>
    <w:rsid w:val="00D91ABB"/>
    <w:rsid w:val="00D92E31"/>
    <w:rsid w:val="00D9308D"/>
    <w:rsid w:val="00D93D72"/>
    <w:rsid w:val="00D9527F"/>
    <w:rsid w:val="00D96ABC"/>
    <w:rsid w:val="00DA356D"/>
    <w:rsid w:val="00DA3574"/>
    <w:rsid w:val="00DB0099"/>
    <w:rsid w:val="00DB02C6"/>
    <w:rsid w:val="00DB0A2C"/>
    <w:rsid w:val="00DB21CF"/>
    <w:rsid w:val="00DB2984"/>
    <w:rsid w:val="00DB3A43"/>
    <w:rsid w:val="00DB4112"/>
    <w:rsid w:val="00DB5C67"/>
    <w:rsid w:val="00DB6C6E"/>
    <w:rsid w:val="00DC0F1D"/>
    <w:rsid w:val="00DC2730"/>
    <w:rsid w:val="00DC2E68"/>
    <w:rsid w:val="00DC2F9A"/>
    <w:rsid w:val="00DC3FF3"/>
    <w:rsid w:val="00DC4039"/>
    <w:rsid w:val="00DC4BEF"/>
    <w:rsid w:val="00DD0BF4"/>
    <w:rsid w:val="00DD1AEF"/>
    <w:rsid w:val="00DD5548"/>
    <w:rsid w:val="00DD751C"/>
    <w:rsid w:val="00DE4373"/>
    <w:rsid w:val="00DE475F"/>
    <w:rsid w:val="00DE62E8"/>
    <w:rsid w:val="00DE7D3C"/>
    <w:rsid w:val="00DF0B2E"/>
    <w:rsid w:val="00DF2AEC"/>
    <w:rsid w:val="00DF507C"/>
    <w:rsid w:val="00DF56DA"/>
    <w:rsid w:val="00DF659A"/>
    <w:rsid w:val="00E0088E"/>
    <w:rsid w:val="00E00B23"/>
    <w:rsid w:val="00E00E2D"/>
    <w:rsid w:val="00E02F41"/>
    <w:rsid w:val="00E03233"/>
    <w:rsid w:val="00E033CE"/>
    <w:rsid w:val="00E05A65"/>
    <w:rsid w:val="00E05BBA"/>
    <w:rsid w:val="00E06DD1"/>
    <w:rsid w:val="00E14274"/>
    <w:rsid w:val="00E143E4"/>
    <w:rsid w:val="00E14F3D"/>
    <w:rsid w:val="00E15128"/>
    <w:rsid w:val="00E155EB"/>
    <w:rsid w:val="00E16046"/>
    <w:rsid w:val="00E179F1"/>
    <w:rsid w:val="00E20C36"/>
    <w:rsid w:val="00E21A89"/>
    <w:rsid w:val="00E22FBF"/>
    <w:rsid w:val="00E253D4"/>
    <w:rsid w:val="00E31647"/>
    <w:rsid w:val="00E31D96"/>
    <w:rsid w:val="00E32EDB"/>
    <w:rsid w:val="00E343EE"/>
    <w:rsid w:val="00E3531E"/>
    <w:rsid w:val="00E364DA"/>
    <w:rsid w:val="00E41DA0"/>
    <w:rsid w:val="00E42211"/>
    <w:rsid w:val="00E43180"/>
    <w:rsid w:val="00E43997"/>
    <w:rsid w:val="00E46CBB"/>
    <w:rsid w:val="00E471B8"/>
    <w:rsid w:val="00E50C0F"/>
    <w:rsid w:val="00E53CAC"/>
    <w:rsid w:val="00E56D08"/>
    <w:rsid w:val="00E62ECE"/>
    <w:rsid w:val="00E64C51"/>
    <w:rsid w:val="00E65DB7"/>
    <w:rsid w:val="00E66208"/>
    <w:rsid w:val="00E667EC"/>
    <w:rsid w:val="00E67139"/>
    <w:rsid w:val="00E671E9"/>
    <w:rsid w:val="00E70EF8"/>
    <w:rsid w:val="00E728AE"/>
    <w:rsid w:val="00E72EB0"/>
    <w:rsid w:val="00E74084"/>
    <w:rsid w:val="00E74E4C"/>
    <w:rsid w:val="00E755E4"/>
    <w:rsid w:val="00E81276"/>
    <w:rsid w:val="00E81763"/>
    <w:rsid w:val="00E837EA"/>
    <w:rsid w:val="00E83C1D"/>
    <w:rsid w:val="00E84B12"/>
    <w:rsid w:val="00E855E2"/>
    <w:rsid w:val="00E865B9"/>
    <w:rsid w:val="00E87732"/>
    <w:rsid w:val="00E9119A"/>
    <w:rsid w:val="00E9137B"/>
    <w:rsid w:val="00E9196D"/>
    <w:rsid w:val="00E91D56"/>
    <w:rsid w:val="00E9760C"/>
    <w:rsid w:val="00EA06DF"/>
    <w:rsid w:val="00EA28F8"/>
    <w:rsid w:val="00EA2C6F"/>
    <w:rsid w:val="00EA3562"/>
    <w:rsid w:val="00EA39AB"/>
    <w:rsid w:val="00EA511E"/>
    <w:rsid w:val="00EA6210"/>
    <w:rsid w:val="00EB0A72"/>
    <w:rsid w:val="00EB5F18"/>
    <w:rsid w:val="00EB60B5"/>
    <w:rsid w:val="00EB6530"/>
    <w:rsid w:val="00EB790B"/>
    <w:rsid w:val="00EC3F65"/>
    <w:rsid w:val="00EC4013"/>
    <w:rsid w:val="00EC447A"/>
    <w:rsid w:val="00EC64D2"/>
    <w:rsid w:val="00EC7509"/>
    <w:rsid w:val="00ED1EEF"/>
    <w:rsid w:val="00ED2574"/>
    <w:rsid w:val="00ED2F93"/>
    <w:rsid w:val="00ED391B"/>
    <w:rsid w:val="00ED39DE"/>
    <w:rsid w:val="00ED3FC5"/>
    <w:rsid w:val="00ED412A"/>
    <w:rsid w:val="00ED4301"/>
    <w:rsid w:val="00ED4A48"/>
    <w:rsid w:val="00ED6CFF"/>
    <w:rsid w:val="00EE2645"/>
    <w:rsid w:val="00EE3254"/>
    <w:rsid w:val="00EE3CB2"/>
    <w:rsid w:val="00EE4453"/>
    <w:rsid w:val="00EE4CE2"/>
    <w:rsid w:val="00EF0677"/>
    <w:rsid w:val="00EF096D"/>
    <w:rsid w:val="00EF0BC7"/>
    <w:rsid w:val="00EF0DA0"/>
    <w:rsid w:val="00EF17EF"/>
    <w:rsid w:val="00EF36C3"/>
    <w:rsid w:val="00EF3723"/>
    <w:rsid w:val="00EF4354"/>
    <w:rsid w:val="00EF4CAF"/>
    <w:rsid w:val="00EF5148"/>
    <w:rsid w:val="00EF7D12"/>
    <w:rsid w:val="00F00046"/>
    <w:rsid w:val="00F01E23"/>
    <w:rsid w:val="00F01E4C"/>
    <w:rsid w:val="00F02CC7"/>
    <w:rsid w:val="00F02F8D"/>
    <w:rsid w:val="00F06355"/>
    <w:rsid w:val="00F12DD3"/>
    <w:rsid w:val="00F14354"/>
    <w:rsid w:val="00F144B6"/>
    <w:rsid w:val="00F14A31"/>
    <w:rsid w:val="00F14C7B"/>
    <w:rsid w:val="00F15B9F"/>
    <w:rsid w:val="00F200AF"/>
    <w:rsid w:val="00F20BAD"/>
    <w:rsid w:val="00F21086"/>
    <w:rsid w:val="00F2152A"/>
    <w:rsid w:val="00F23FC2"/>
    <w:rsid w:val="00F24E6E"/>
    <w:rsid w:val="00F27E29"/>
    <w:rsid w:val="00F301BF"/>
    <w:rsid w:val="00F3184D"/>
    <w:rsid w:val="00F31B27"/>
    <w:rsid w:val="00F336C1"/>
    <w:rsid w:val="00F36143"/>
    <w:rsid w:val="00F3622B"/>
    <w:rsid w:val="00F37403"/>
    <w:rsid w:val="00F37872"/>
    <w:rsid w:val="00F37BE9"/>
    <w:rsid w:val="00F4295A"/>
    <w:rsid w:val="00F436E5"/>
    <w:rsid w:val="00F4397F"/>
    <w:rsid w:val="00F450F0"/>
    <w:rsid w:val="00F4696D"/>
    <w:rsid w:val="00F46CF7"/>
    <w:rsid w:val="00F47FB3"/>
    <w:rsid w:val="00F5040F"/>
    <w:rsid w:val="00F5329E"/>
    <w:rsid w:val="00F54E54"/>
    <w:rsid w:val="00F55BB2"/>
    <w:rsid w:val="00F55C4A"/>
    <w:rsid w:val="00F56E2C"/>
    <w:rsid w:val="00F570F9"/>
    <w:rsid w:val="00F60377"/>
    <w:rsid w:val="00F60C9D"/>
    <w:rsid w:val="00F612DB"/>
    <w:rsid w:val="00F61338"/>
    <w:rsid w:val="00F6322D"/>
    <w:rsid w:val="00F64530"/>
    <w:rsid w:val="00F648D7"/>
    <w:rsid w:val="00F64BAB"/>
    <w:rsid w:val="00F65891"/>
    <w:rsid w:val="00F668C4"/>
    <w:rsid w:val="00F710A5"/>
    <w:rsid w:val="00F7123D"/>
    <w:rsid w:val="00F74069"/>
    <w:rsid w:val="00F75DDD"/>
    <w:rsid w:val="00F75F5D"/>
    <w:rsid w:val="00F76DC4"/>
    <w:rsid w:val="00F773E8"/>
    <w:rsid w:val="00F77983"/>
    <w:rsid w:val="00F80177"/>
    <w:rsid w:val="00F80311"/>
    <w:rsid w:val="00F808E9"/>
    <w:rsid w:val="00F81A18"/>
    <w:rsid w:val="00F82706"/>
    <w:rsid w:val="00F82DCC"/>
    <w:rsid w:val="00F8402D"/>
    <w:rsid w:val="00F85569"/>
    <w:rsid w:val="00F85BBD"/>
    <w:rsid w:val="00F86DA7"/>
    <w:rsid w:val="00F87693"/>
    <w:rsid w:val="00F87E0D"/>
    <w:rsid w:val="00F903D6"/>
    <w:rsid w:val="00F90FFA"/>
    <w:rsid w:val="00F91FED"/>
    <w:rsid w:val="00F9308F"/>
    <w:rsid w:val="00F93A01"/>
    <w:rsid w:val="00F94181"/>
    <w:rsid w:val="00F95D4B"/>
    <w:rsid w:val="00F96295"/>
    <w:rsid w:val="00F96340"/>
    <w:rsid w:val="00FA09C7"/>
    <w:rsid w:val="00FA211C"/>
    <w:rsid w:val="00FA3AA1"/>
    <w:rsid w:val="00FA6BA9"/>
    <w:rsid w:val="00FA7712"/>
    <w:rsid w:val="00FA7939"/>
    <w:rsid w:val="00FA7D70"/>
    <w:rsid w:val="00FB2274"/>
    <w:rsid w:val="00FB280C"/>
    <w:rsid w:val="00FB3EA3"/>
    <w:rsid w:val="00FB6FD4"/>
    <w:rsid w:val="00FB727C"/>
    <w:rsid w:val="00FB74A3"/>
    <w:rsid w:val="00FC011A"/>
    <w:rsid w:val="00FC2B67"/>
    <w:rsid w:val="00FC30CE"/>
    <w:rsid w:val="00FC31EB"/>
    <w:rsid w:val="00FC39FB"/>
    <w:rsid w:val="00FC4729"/>
    <w:rsid w:val="00FC6D5B"/>
    <w:rsid w:val="00FD18AB"/>
    <w:rsid w:val="00FD21B5"/>
    <w:rsid w:val="00FD33E8"/>
    <w:rsid w:val="00FD4A14"/>
    <w:rsid w:val="00FD4F53"/>
    <w:rsid w:val="00FD5B73"/>
    <w:rsid w:val="00FD76F8"/>
    <w:rsid w:val="00FD7ABB"/>
    <w:rsid w:val="00FE0853"/>
    <w:rsid w:val="00FE149D"/>
    <w:rsid w:val="00FE4E95"/>
    <w:rsid w:val="00FE5529"/>
    <w:rsid w:val="00FE64F6"/>
    <w:rsid w:val="00FE6823"/>
    <w:rsid w:val="00FF063F"/>
    <w:rsid w:val="00FF1F68"/>
    <w:rsid w:val="00FF4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42E3D"/>
  <w15:docId w15:val="{059A8212-5C36-41FA-A9FD-0EB81DD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EF096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locked/>
    <w:rsid w:val="00FA771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semiHidden/>
    <w:rsid w:val="00EF096D"/>
    <w:rPr>
      <w:rFonts w:asciiTheme="majorHAnsi" w:eastAsiaTheme="majorEastAsia" w:hAnsiTheme="majorHAnsi" w:cstheme="majorBidi"/>
      <w:b/>
      <w:bCs/>
      <w:kern w:val="2"/>
      <w:sz w:val="48"/>
      <w:szCs w:val="48"/>
    </w:rPr>
  </w:style>
  <w:style w:type="paragraph" w:styleId="af">
    <w:name w:val="Balloon Text"/>
    <w:basedOn w:val="a"/>
    <w:link w:val="af0"/>
    <w:uiPriority w:val="99"/>
    <w:semiHidden/>
    <w:unhideWhenUsed/>
    <w:rsid w:val="000445A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445A1"/>
    <w:rPr>
      <w:rFonts w:asciiTheme="majorHAnsi" w:eastAsiaTheme="majorEastAsia" w:hAnsiTheme="majorHAnsi" w:cstheme="majorBidi"/>
      <w:kern w:val="2"/>
      <w:sz w:val="18"/>
      <w:szCs w:val="18"/>
    </w:rPr>
  </w:style>
  <w:style w:type="paragraph" w:customStyle="1" w:styleId="m-6768565786166956884m3417307138195129664gmail-msolistparagraph">
    <w:name w:val="m_-6768565786166956884m_3417307138195129664gmail-msolistparagraph"/>
    <w:basedOn w:val="a"/>
    <w:rsid w:val="00546439"/>
    <w:pPr>
      <w:widowControl/>
      <w:spacing w:before="100" w:beforeAutospacing="1" w:after="100" w:afterAutospacing="1"/>
    </w:pPr>
    <w:rPr>
      <w:rFonts w:ascii="新細明體" w:hAnsi="新細明體" w:cs="新細明體"/>
      <w:kern w:val="0"/>
      <w:szCs w:val="24"/>
    </w:rPr>
  </w:style>
  <w:style w:type="character" w:customStyle="1" w:styleId="30">
    <w:name w:val="標題 3 字元"/>
    <w:basedOn w:val="a0"/>
    <w:link w:val="3"/>
    <w:semiHidden/>
    <w:rsid w:val="00FA7712"/>
    <w:rPr>
      <w:rFonts w:asciiTheme="majorHAnsi" w:eastAsiaTheme="majorEastAsia" w:hAnsiTheme="majorHAnsi" w:cstheme="majorBidi"/>
      <w:b/>
      <w:bCs/>
      <w:kern w:val="2"/>
      <w:sz w:val="36"/>
      <w:szCs w:val="36"/>
    </w:rPr>
  </w:style>
  <w:style w:type="character" w:customStyle="1" w:styleId="il">
    <w:name w:val="il"/>
    <w:basedOn w:val="a0"/>
    <w:rsid w:val="0025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5922">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11003392">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27516940">
      <w:bodyDiv w:val="1"/>
      <w:marLeft w:val="0"/>
      <w:marRight w:val="0"/>
      <w:marTop w:val="0"/>
      <w:marBottom w:val="0"/>
      <w:divBdr>
        <w:top w:val="none" w:sz="0" w:space="0" w:color="auto"/>
        <w:left w:val="none" w:sz="0" w:space="0" w:color="auto"/>
        <w:bottom w:val="none" w:sz="0" w:space="0" w:color="auto"/>
        <w:right w:val="none" w:sz="0" w:space="0" w:color="auto"/>
      </w:divBdr>
      <w:divsChild>
        <w:div w:id="1787117540">
          <w:marLeft w:val="0"/>
          <w:marRight w:val="0"/>
          <w:marTop w:val="0"/>
          <w:marBottom w:val="360"/>
          <w:divBdr>
            <w:top w:val="none" w:sz="0" w:space="0" w:color="auto"/>
            <w:left w:val="none" w:sz="0" w:space="0" w:color="auto"/>
            <w:bottom w:val="none" w:sz="0" w:space="0" w:color="auto"/>
            <w:right w:val="none" w:sz="0" w:space="0" w:color="auto"/>
          </w:divBdr>
        </w:div>
        <w:div w:id="1790272483">
          <w:marLeft w:val="0"/>
          <w:marRight w:val="0"/>
          <w:marTop w:val="0"/>
          <w:marBottom w:val="0"/>
          <w:divBdr>
            <w:top w:val="none" w:sz="0" w:space="0" w:color="auto"/>
            <w:left w:val="none" w:sz="0" w:space="0" w:color="auto"/>
            <w:bottom w:val="none" w:sz="0" w:space="0" w:color="auto"/>
            <w:right w:val="none" w:sz="0" w:space="0" w:color="auto"/>
          </w:divBdr>
          <w:divsChild>
            <w:div w:id="9639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5702">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0232">
      <w:bodyDiv w:val="1"/>
      <w:marLeft w:val="0"/>
      <w:marRight w:val="0"/>
      <w:marTop w:val="0"/>
      <w:marBottom w:val="0"/>
      <w:divBdr>
        <w:top w:val="none" w:sz="0" w:space="0" w:color="auto"/>
        <w:left w:val="none" w:sz="0" w:space="0" w:color="auto"/>
        <w:bottom w:val="none" w:sz="0" w:space="0" w:color="auto"/>
        <w:right w:val="none" w:sz="0" w:space="0" w:color="auto"/>
      </w:divBdr>
    </w:div>
    <w:div w:id="846940672">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486">
      <w:bodyDiv w:val="1"/>
      <w:marLeft w:val="0"/>
      <w:marRight w:val="0"/>
      <w:marTop w:val="0"/>
      <w:marBottom w:val="0"/>
      <w:divBdr>
        <w:top w:val="none" w:sz="0" w:space="0" w:color="auto"/>
        <w:left w:val="none" w:sz="0" w:space="0" w:color="auto"/>
        <w:bottom w:val="none" w:sz="0" w:space="0" w:color="auto"/>
        <w:right w:val="none" w:sz="0" w:space="0" w:color="auto"/>
      </w:divBdr>
    </w:div>
    <w:div w:id="1362507989">
      <w:bodyDiv w:val="1"/>
      <w:marLeft w:val="0"/>
      <w:marRight w:val="0"/>
      <w:marTop w:val="0"/>
      <w:marBottom w:val="0"/>
      <w:divBdr>
        <w:top w:val="none" w:sz="0" w:space="0" w:color="auto"/>
        <w:left w:val="none" w:sz="0" w:space="0" w:color="auto"/>
        <w:bottom w:val="none" w:sz="0" w:space="0" w:color="auto"/>
        <w:right w:val="none" w:sz="0" w:space="0" w:color="auto"/>
      </w:divBdr>
      <w:divsChild>
        <w:div w:id="1263345061">
          <w:marLeft w:val="0"/>
          <w:marRight w:val="0"/>
          <w:marTop w:val="0"/>
          <w:marBottom w:val="0"/>
          <w:divBdr>
            <w:top w:val="none" w:sz="0" w:space="0" w:color="auto"/>
            <w:left w:val="none" w:sz="0" w:space="0" w:color="auto"/>
            <w:bottom w:val="none" w:sz="0" w:space="0" w:color="auto"/>
            <w:right w:val="none" w:sz="0" w:space="0" w:color="auto"/>
          </w:divBdr>
        </w:div>
      </w:divsChild>
    </w:div>
    <w:div w:id="1377776005">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50544138">
      <w:bodyDiv w:val="1"/>
      <w:marLeft w:val="0"/>
      <w:marRight w:val="0"/>
      <w:marTop w:val="0"/>
      <w:marBottom w:val="0"/>
      <w:divBdr>
        <w:top w:val="none" w:sz="0" w:space="0" w:color="auto"/>
        <w:left w:val="none" w:sz="0" w:space="0" w:color="auto"/>
        <w:bottom w:val="none" w:sz="0" w:space="0" w:color="auto"/>
        <w:right w:val="none" w:sz="0" w:space="0" w:color="auto"/>
      </w:divBdr>
    </w:div>
    <w:div w:id="1760980378">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6153174">
      <w:bodyDiv w:val="1"/>
      <w:marLeft w:val="0"/>
      <w:marRight w:val="0"/>
      <w:marTop w:val="0"/>
      <w:marBottom w:val="0"/>
      <w:divBdr>
        <w:top w:val="none" w:sz="0" w:space="0" w:color="auto"/>
        <w:left w:val="none" w:sz="0" w:space="0" w:color="auto"/>
        <w:bottom w:val="none" w:sz="0" w:space="0" w:color="auto"/>
        <w:right w:val="none" w:sz="0" w:space="0" w:color="auto"/>
      </w:divBdr>
    </w:div>
    <w:div w:id="197127607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tw/mlms/H0001.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fda.gov.tw" TargetMode="External"/><Relationship Id="rId4" Type="http://schemas.openxmlformats.org/officeDocument/2006/relationships/settings" Target="settings.xml"/><Relationship Id="rId9" Type="http://schemas.openxmlformats.org/officeDocument/2006/relationships/hyperlink" Target="https://www.gov.uk/drug-safety-update/systemically-administered-vegf-pathway-inhibitors-risk-of-aneurysm-and-artery-diss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E797C-1745-4BB6-AF6E-0B181545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631</TotalTime>
  <Pages>9</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黃暐涵</cp:lastModifiedBy>
  <cp:revision>10</cp:revision>
  <cp:lastPrinted>2020-09-01T08:34:00Z</cp:lastPrinted>
  <dcterms:created xsi:type="dcterms:W3CDTF">2020-08-26T01:38:00Z</dcterms:created>
  <dcterms:modified xsi:type="dcterms:W3CDTF">2020-09-01T08:55:00Z</dcterms:modified>
</cp:coreProperties>
</file>