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FC" w:rsidRPr="00A70044" w:rsidRDefault="000626FC" w:rsidP="00BA2EBD">
      <w:pPr>
        <w:widowControl/>
        <w:rPr>
          <w:rFonts w:ascii="標楷體" w:eastAsia="標楷體" w:hAnsi="標楷體"/>
          <w:b/>
          <w:sz w:val="40"/>
          <w:szCs w:val="40"/>
        </w:rPr>
      </w:pPr>
      <w:r w:rsidRPr="00A70044">
        <w:rPr>
          <w:rFonts w:ascii="標楷體" w:eastAsia="標楷體" w:hAnsi="標楷體" w:hint="eastAsia"/>
          <w:b/>
          <w:sz w:val="40"/>
          <w:szCs w:val="40"/>
        </w:rPr>
        <w:t>生產事故救濟作業辦法第七條、第九條修正條文對照表</w:t>
      </w:r>
    </w:p>
    <w:p w:rsidR="000626FC" w:rsidRPr="00A70044" w:rsidRDefault="000626FC" w:rsidP="000626FC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828"/>
      </w:tblGrid>
      <w:tr w:rsidR="004B21D6" w:rsidRPr="004B21D6" w:rsidTr="000E757C">
        <w:tc>
          <w:tcPr>
            <w:tcW w:w="2972" w:type="dxa"/>
          </w:tcPr>
          <w:p w:rsidR="000626FC" w:rsidRPr="004B21D6" w:rsidRDefault="000626FC" w:rsidP="000E7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977" w:type="dxa"/>
          </w:tcPr>
          <w:p w:rsidR="000626FC" w:rsidRPr="004B21D6" w:rsidRDefault="000626FC" w:rsidP="000E7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2828" w:type="dxa"/>
          </w:tcPr>
          <w:p w:rsidR="000626FC" w:rsidRPr="004B21D6" w:rsidRDefault="000626FC" w:rsidP="000E7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4B21D6" w:rsidRPr="004B21D6" w:rsidTr="000E757C">
        <w:tc>
          <w:tcPr>
            <w:tcW w:w="2972" w:type="dxa"/>
          </w:tcPr>
          <w:p w:rsidR="000626FC" w:rsidRPr="004B21D6" w:rsidRDefault="000626FC" w:rsidP="000E757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第七條  生產事故救濟給付之額度如下：</w:t>
            </w:r>
          </w:p>
          <w:p w:rsidR="000626FC" w:rsidRPr="004B21D6" w:rsidRDefault="000626FC" w:rsidP="000E757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一、死亡給付：</w:t>
            </w:r>
          </w:p>
          <w:p w:rsidR="000626FC" w:rsidRPr="004B21D6" w:rsidRDefault="000626FC" w:rsidP="00914FE2">
            <w:pPr>
              <w:ind w:leftChars="190" w:left="960" w:hangingChars="210" w:hanging="504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(一)產婦：最高新臺幣</w:t>
            </w:r>
            <w:r w:rsidR="00354C19" w:rsidRPr="004B21D6">
              <w:rPr>
                <w:rFonts w:ascii="標楷體" w:eastAsia="標楷體" w:hAnsi="標楷體" w:hint="eastAsia"/>
                <w:szCs w:val="24"/>
                <w:u w:val="single"/>
              </w:rPr>
              <w:t>四</w:t>
            </w:r>
            <w:r w:rsidRPr="004B21D6">
              <w:rPr>
                <w:rFonts w:ascii="標楷體" w:eastAsia="標楷體" w:hAnsi="標楷體" w:hint="eastAsia"/>
                <w:szCs w:val="24"/>
              </w:rPr>
              <w:t>百萬元。</w:t>
            </w:r>
          </w:p>
          <w:p w:rsidR="000626FC" w:rsidRPr="004B21D6" w:rsidRDefault="000626FC" w:rsidP="00914FE2">
            <w:pPr>
              <w:ind w:leftChars="190" w:left="960" w:hangingChars="210" w:hanging="504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(二)胎兒或新生兒：最高新臺幣三十萬元。</w:t>
            </w:r>
          </w:p>
          <w:p w:rsidR="000626FC" w:rsidRPr="004B21D6" w:rsidRDefault="000626FC" w:rsidP="000E757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二、重大傷害給付：</w:t>
            </w:r>
          </w:p>
          <w:p w:rsidR="000626FC" w:rsidRPr="004B21D6" w:rsidRDefault="000626FC" w:rsidP="00914FE2">
            <w:pPr>
              <w:ind w:leftChars="190" w:left="960" w:hangingChars="210" w:hanging="504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(一)極重度障礙：最高新臺幣</w:t>
            </w:r>
            <w:r w:rsidR="00354C19" w:rsidRPr="004B21D6">
              <w:rPr>
                <w:rFonts w:ascii="標楷體" w:eastAsia="標楷體" w:hAnsi="標楷體" w:hint="eastAsia"/>
                <w:szCs w:val="24"/>
                <w:u w:val="single"/>
              </w:rPr>
              <w:t>三</w:t>
            </w:r>
            <w:r w:rsidRPr="004B21D6">
              <w:rPr>
                <w:rFonts w:ascii="標楷體" w:eastAsia="標楷體" w:hAnsi="標楷體" w:hint="eastAsia"/>
                <w:szCs w:val="24"/>
              </w:rPr>
              <w:t>百萬元。</w:t>
            </w:r>
          </w:p>
          <w:p w:rsidR="000626FC" w:rsidRPr="004B21D6" w:rsidRDefault="000626FC" w:rsidP="00914FE2">
            <w:pPr>
              <w:ind w:leftChars="190" w:left="960" w:hangingChars="210" w:hanging="504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(二)重度障礙：最高新臺幣</w:t>
            </w:r>
            <w:r w:rsidR="00354C19" w:rsidRPr="004B21D6">
              <w:rPr>
                <w:rFonts w:ascii="標楷體" w:eastAsia="標楷體" w:hAnsi="標楷體" w:hint="eastAsia"/>
                <w:szCs w:val="24"/>
                <w:u w:val="single"/>
              </w:rPr>
              <w:t>二</w:t>
            </w:r>
            <w:r w:rsidR="00354C19" w:rsidRPr="004B21D6">
              <w:rPr>
                <w:rFonts w:ascii="標楷體" w:eastAsia="標楷體" w:hAnsi="標楷體" w:hint="eastAsia"/>
                <w:szCs w:val="24"/>
              </w:rPr>
              <w:t>百</w:t>
            </w:r>
            <w:r w:rsidRPr="004B21D6">
              <w:rPr>
                <w:rFonts w:ascii="標楷體" w:eastAsia="標楷體" w:hAnsi="標楷體" w:hint="eastAsia"/>
                <w:szCs w:val="24"/>
              </w:rPr>
              <w:t>萬元。</w:t>
            </w:r>
          </w:p>
          <w:p w:rsidR="000626FC" w:rsidRPr="004B21D6" w:rsidRDefault="000626FC" w:rsidP="00914FE2">
            <w:pPr>
              <w:ind w:leftChars="190" w:left="960" w:hangingChars="210" w:hanging="504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(三)中度障礙：最高新臺幣</w:t>
            </w:r>
            <w:r w:rsidR="00543309" w:rsidRPr="004B21D6">
              <w:rPr>
                <w:rFonts w:ascii="標楷體" w:eastAsia="標楷體" w:hAnsi="標楷體" w:hint="eastAsia"/>
                <w:szCs w:val="24"/>
              </w:rPr>
              <w:t>一</w:t>
            </w:r>
            <w:r w:rsidR="00354C19" w:rsidRPr="004B21D6">
              <w:rPr>
                <w:rFonts w:ascii="標楷體" w:eastAsia="標楷體" w:hAnsi="標楷體" w:hint="eastAsia"/>
                <w:szCs w:val="24"/>
              </w:rPr>
              <w:t>百</w:t>
            </w:r>
            <w:r w:rsidR="00543309" w:rsidRPr="004B21D6">
              <w:rPr>
                <w:rFonts w:ascii="標楷體" w:eastAsia="標楷體" w:hAnsi="標楷體" w:hint="eastAsia"/>
                <w:szCs w:val="24"/>
                <w:u w:val="single"/>
              </w:rPr>
              <w:t>五</w:t>
            </w:r>
            <w:r w:rsidR="00543309" w:rsidRPr="004B21D6">
              <w:rPr>
                <w:rFonts w:ascii="標楷體" w:eastAsia="標楷體" w:hAnsi="標楷體" w:hint="eastAsia"/>
                <w:szCs w:val="24"/>
              </w:rPr>
              <w:t>十</w:t>
            </w:r>
            <w:r w:rsidRPr="004B21D6">
              <w:rPr>
                <w:rFonts w:ascii="標楷體" w:eastAsia="標楷體" w:hAnsi="標楷體" w:hint="eastAsia"/>
                <w:szCs w:val="24"/>
              </w:rPr>
              <w:t>萬元。</w:t>
            </w:r>
          </w:p>
          <w:p w:rsidR="000626FC" w:rsidRPr="004B21D6" w:rsidRDefault="000626FC" w:rsidP="00914FE2">
            <w:pPr>
              <w:ind w:leftChars="190" w:left="960" w:hangingChars="210" w:hanging="504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(四)子宮切除致喪失生殖機能：衡酌其有無子女、喪失生殖能力對家庭影響程度，最高新臺幣八十萬元。</w:t>
            </w:r>
          </w:p>
          <w:p w:rsidR="000626FC" w:rsidRPr="004B21D6" w:rsidRDefault="000626FC" w:rsidP="00914FE2">
            <w:pPr>
              <w:ind w:leftChars="190" w:left="960" w:hangingChars="210" w:hanging="504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(五)經中央主管機關認定為其他於身體或健康有重大不治或難治之傷害：最高新臺幣三十萬元。</w:t>
            </w:r>
          </w:p>
          <w:p w:rsidR="000626FC" w:rsidRPr="004B21D6" w:rsidRDefault="000626FC" w:rsidP="000E757C">
            <w:pPr>
              <w:ind w:leftChars="100" w:left="24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前項第二款障礙程度，由直轄市、縣（市）</w:t>
            </w:r>
            <w:r w:rsidRPr="004B21D6">
              <w:rPr>
                <w:rFonts w:ascii="標楷體" w:eastAsia="標楷體" w:hAnsi="標楷體" w:hint="eastAsia"/>
                <w:szCs w:val="24"/>
              </w:rPr>
              <w:lastRenderedPageBreak/>
              <w:t>政府依身心障礙者權益保障法規定核發之身心障礙證明認定之。</w:t>
            </w:r>
          </w:p>
          <w:p w:rsidR="0022041C" w:rsidRPr="004B21D6" w:rsidRDefault="0022041C" w:rsidP="0022041C">
            <w:pPr>
              <w:ind w:leftChars="100" w:left="240" w:firstLineChars="200" w:firstLine="4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1D6">
              <w:rPr>
                <w:rFonts w:ascii="標楷體" w:eastAsia="標楷體" w:hAnsi="標楷體" w:hint="eastAsia"/>
                <w:szCs w:val="24"/>
                <w:u w:val="single"/>
              </w:rPr>
              <w:t>本辦法中華民國</w:t>
            </w:r>
            <w:r w:rsidR="000B354E">
              <w:rPr>
                <w:rFonts w:ascii="標楷體" w:eastAsia="標楷體" w:hAnsi="標楷體" w:hint="eastAsia"/>
                <w:szCs w:val="24"/>
                <w:u w:val="single"/>
              </w:rPr>
              <w:t>一百零八</w:t>
            </w:r>
            <w:r w:rsidRPr="004B21D6">
              <w:rPr>
                <w:rFonts w:ascii="標楷體" w:eastAsia="標楷體" w:hAnsi="標楷體"/>
                <w:szCs w:val="24"/>
                <w:u w:val="single"/>
              </w:rPr>
              <w:t>年</w:t>
            </w:r>
            <w:r w:rsidR="000B354E">
              <w:rPr>
                <w:rFonts w:ascii="標楷體" w:eastAsia="標楷體" w:hAnsi="標楷體" w:hint="eastAsia"/>
                <w:szCs w:val="24"/>
                <w:u w:val="single"/>
              </w:rPr>
              <w:t>十</w:t>
            </w:r>
            <w:r w:rsidRPr="004B21D6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0B354E">
              <w:rPr>
                <w:rFonts w:ascii="標楷體" w:eastAsia="標楷體" w:hAnsi="標楷體" w:hint="eastAsia"/>
                <w:szCs w:val="24"/>
                <w:u w:val="single"/>
              </w:rPr>
              <w:t>四</w:t>
            </w:r>
            <w:bookmarkStart w:id="0" w:name="_GoBack"/>
            <w:bookmarkEnd w:id="0"/>
            <w:r w:rsidRPr="004B21D6">
              <w:rPr>
                <w:rFonts w:ascii="標楷體" w:eastAsia="標楷體" w:hAnsi="標楷體" w:hint="eastAsia"/>
                <w:szCs w:val="24"/>
                <w:u w:val="single"/>
              </w:rPr>
              <w:t>日修正</w:t>
            </w:r>
            <w:r w:rsidR="002C2440" w:rsidRPr="004B21D6">
              <w:rPr>
                <w:rFonts w:ascii="標楷體" w:eastAsia="標楷體" w:hAnsi="標楷體" w:hint="eastAsia"/>
                <w:szCs w:val="24"/>
                <w:u w:val="single"/>
              </w:rPr>
              <w:t>發布日</w:t>
            </w:r>
            <w:r w:rsidRPr="004B21D6">
              <w:rPr>
                <w:rFonts w:ascii="標楷體" w:eastAsia="標楷體" w:hAnsi="標楷體" w:hint="eastAsia"/>
                <w:szCs w:val="24"/>
                <w:u w:val="single"/>
              </w:rPr>
              <w:t>起發生生產事故者，依第一項所定額度給付之；修正</w:t>
            </w:r>
            <w:r w:rsidR="002C2440" w:rsidRPr="004B21D6">
              <w:rPr>
                <w:rFonts w:ascii="標楷體" w:eastAsia="標楷體" w:hAnsi="標楷體" w:hint="eastAsia"/>
                <w:szCs w:val="24"/>
                <w:u w:val="single"/>
              </w:rPr>
              <w:t>發布</w:t>
            </w:r>
            <w:r w:rsidRPr="004B21D6">
              <w:rPr>
                <w:rFonts w:ascii="標楷體" w:eastAsia="標楷體" w:hAnsi="標楷體" w:hint="eastAsia"/>
                <w:szCs w:val="24"/>
                <w:u w:val="single"/>
              </w:rPr>
              <w:t>日前發生之生產事故者，依修正</w:t>
            </w:r>
            <w:r w:rsidR="002C2440" w:rsidRPr="004B21D6">
              <w:rPr>
                <w:rFonts w:ascii="標楷體" w:eastAsia="標楷體" w:hAnsi="標楷體" w:hint="eastAsia"/>
                <w:szCs w:val="24"/>
                <w:u w:val="single"/>
              </w:rPr>
              <w:t>發布日</w:t>
            </w:r>
            <w:r w:rsidRPr="004B21D6">
              <w:rPr>
                <w:rFonts w:ascii="標楷體" w:eastAsia="標楷體" w:hAnsi="標楷體" w:hint="eastAsia"/>
                <w:szCs w:val="24"/>
                <w:u w:val="single"/>
              </w:rPr>
              <w:t>前所定額度給付之。</w:t>
            </w:r>
          </w:p>
          <w:p w:rsidR="0092483F" w:rsidRPr="004B21D6" w:rsidRDefault="0092483F">
            <w:pPr>
              <w:ind w:leftChars="100" w:left="24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0626FC" w:rsidRPr="004B21D6" w:rsidRDefault="000626FC" w:rsidP="000E757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lastRenderedPageBreak/>
              <w:t>第七條  生產事故救濟給付之額度如下：</w:t>
            </w:r>
          </w:p>
          <w:p w:rsidR="000626FC" w:rsidRPr="004B21D6" w:rsidRDefault="000626FC" w:rsidP="000E757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一、死亡給付：</w:t>
            </w:r>
          </w:p>
          <w:p w:rsidR="000626FC" w:rsidRPr="004B21D6" w:rsidRDefault="000626FC" w:rsidP="000E757C">
            <w:pPr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(一)產婦：最高新臺幣二百萬元。</w:t>
            </w:r>
          </w:p>
          <w:p w:rsidR="000626FC" w:rsidRPr="004B21D6" w:rsidRDefault="000626FC" w:rsidP="000E757C">
            <w:pPr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(二)胎兒或新生兒：最高新臺幣三十萬元。</w:t>
            </w:r>
          </w:p>
          <w:p w:rsidR="000626FC" w:rsidRPr="004B21D6" w:rsidRDefault="000626FC" w:rsidP="000E757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二、重大傷害給付：</w:t>
            </w:r>
          </w:p>
          <w:p w:rsidR="000626FC" w:rsidRPr="004B21D6" w:rsidRDefault="000626FC" w:rsidP="000E757C">
            <w:pPr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(一)極重度障礙：最高新臺幣一百</w:t>
            </w:r>
            <w:r w:rsidRPr="004B21D6">
              <w:rPr>
                <w:rFonts w:ascii="標楷體" w:eastAsia="標楷體" w:hAnsi="標楷體" w:hint="eastAsia"/>
                <w:szCs w:val="24"/>
                <w:u w:val="single"/>
              </w:rPr>
              <w:t>五十</w:t>
            </w:r>
            <w:r w:rsidRPr="004B21D6">
              <w:rPr>
                <w:rFonts w:ascii="標楷體" w:eastAsia="標楷體" w:hAnsi="標楷體" w:hint="eastAsia"/>
                <w:szCs w:val="24"/>
              </w:rPr>
              <w:t>萬元。</w:t>
            </w:r>
          </w:p>
          <w:p w:rsidR="000626FC" w:rsidRPr="004B21D6" w:rsidRDefault="000626FC" w:rsidP="000E757C">
            <w:pPr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(二)重度障礙：最高新臺幣一百</w:t>
            </w:r>
            <w:r w:rsidRPr="004B21D6">
              <w:rPr>
                <w:rFonts w:ascii="標楷體" w:eastAsia="標楷體" w:hAnsi="標楷體" w:hint="eastAsia"/>
                <w:szCs w:val="24"/>
                <w:u w:val="single"/>
              </w:rPr>
              <w:t>三十</w:t>
            </w:r>
            <w:r w:rsidRPr="004B21D6">
              <w:rPr>
                <w:rFonts w:ascii="標楷體" w:eastAsia="標楷體" w:hAnsi="標楷體" w:hint="eastAsia"/>
                <w:szCs w:val="24"/>
              </w:rPr>
              <w:t>萬元。</w:t>
            </w:r>
          </w:p>
          <w:p w:rsidR="000626FC" w:rsidRPr="004B21D6" w:rsidRDefault="000626FC" w:rsidP="000E757C">
            <w:pPr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(三)中度障礙：最高新臺幣一百十萬元。</w:t>
            </w:r>
          </w:p>
          <w:p w:rsidR="000626FC" w:rsidRPr="004B21D6" w:rsidRDefault="000626FC" w:rsidP="000E757C">
            <w:pPr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(四)子宮切除致喪失生殖機能：衡酌其有無子女、喪失生殖能力對家庭影響程度，最高新臺幣八十萬元。</w:t>
            </w:r>
          </w:p>
          <w:p w:rsidR="000626FC" w:rsidRPr="004B21D6" w:rsidRDefault="000626FC" w:rsidP="000E757C">
            <w:pPr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(五)經中央主管機關認定為其他於身體或健康有重大不治或難治之傷害：最高新臺幣三十萬元。</w:t>
            </w:r>
          </w:p>
          <w:p w:rsidR="000626FC" w:rsidRPr="004B21D6" w:rsidRDefault="000626FC" w:rsidP="000E757C">
            <w:pPr>
              <w:ind w:leftChars="100" w:left="24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前項第二款障礙程度，由直轄市、縣（市）政府依身心障礙者權益</w:t>
            </w:r>
            <w:r w:rsidRPr="004B21D6">
              <w:rPr>
                <w:rFonts w:ascii="標楷體" w:eastAsia="標楷體" w:hAnsi="標楷體" w:hint="eastAsia"/>
                <w:szCs w:val="24"/>
              </w:rPr>
              <w:lastRenderedPageBreak/>
              <w:t>保障法規定核發之身心障礙證明認定之。</w:t>
            </w:r>
          </w:p>
        </w:tc>
        <w:tc>
          <w:tcPr>
            <w:tcW w:w="2828" w:type="dxa"/>
          </w:tcPr>
          <w:p w:rsidR="000626FC" w:rsidRPr="004B21D6" w:rsidRDefault="000626FC" w:rsidP="0033777F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lastRenderedPageBreak/>
              <w:t>因應</w:t>
            </w:r>
            <w:r w:rsidR="00D84950" w:rsidRPr="004B21D6">
              <w:rPr>
                <w:rFonts w:ascii="標楷體" w:eastAsia="標楷體" w:hAnsi="標楷體" w:hint="eastAsia"/>
                <w:szCs w:val="24"/>
              </w:rPr>
              <w:t>「行政院性別平等會第</w:t>
            </w:r>
            <w:r w:rsidR="00D84950" w:rsidRPr="004B21D6">
              <w:rPr>
                <w:rFonts w:ascii="標楷體" w:eastAsia="標楷體" w:hAnsi="標楷體"/>
                <w:szCs w:val="24"/>
              </w:rPr>
              <w:t>20</w:t>
            </w:r>
            <w:r w:rsidR="00D84950" w:rsidRPr="004B21D6">
              <w:rPr>
                <w:rFonts w:ascii="標楷體" w:eastAsia="標楷體" w:hAnsi="標楷體" w:hint="eastAsia"/>
                <w:szCs w:val="24"/>
              </w:rPr>
              <w:t>次委員會議」</w:t>
            </w:r>
            <w:r w:rsidR="00A6493B" w:rsidRPr="004B21D6">
              <w:rPr>
                <w:rFonts w:ascii="標楷體" w:eastAsia="標楷體" w:hAnsi="標楷體" w:hint="eastAsia"/>
                <w:szCs w:val="24"/>
              </w:rPr>
              <w:t>決議</w:t>
            </w:r>
            <w:r w:rsidR="00D84950" w:rsidRPr="004B21D6">
              <w:rPr>
                <w:rFonts w:ascii="標楷體" w:eastAsia="標楷體" w:hAnsi="標楷體" w:hint="eastAsia"/>
                <w:szCs w:val="24"/>
              </w:rPr>
              <w:t>、</w:t>
            </w:r>
            <w:r w:rsidRPr="004B21D6">
              <w:rPr>
                <w:rFonts w:ascii="標楷體" w:eastAsia="標楷體" w:hAnsi="標楷體" w:hint="eastAsia"/>
                <w:szCs w:val="24"/>
              </w:rPr>
              <w:t>「行政院性別平等會各分工小組</w:t>
            </w:r>
            <w:r w:rsidRPr="004B21D6">
              <w:rPr>
                <w:rFonts w:ascii="標楷體" w:eastAsia="標楷體" w:hAnsi="標楷體"/>
                <w:szCs w:val="24"/>
              </w:rPr>
              <w:t>(</w:t>
            </w:r>
            <w:r w:rsidRPr="004B21D6">
              <w:rPr>
                <w:rFonts w:ascii="標楷體" w:eastAsia="標楷體" w:hAnsi="標楷體" w:hint="eastAsia"/>
                <w:szCs w:val="24"/>
              </w:rPr>
              <w:t>衛生、福利及家庭組</w:t>
            </w:r>
            <w:r w:rsidRPr="004B21D6">
              <w:rPr>
                <w:rFonts w:ascii="標楷體" w:eastAsia="標楷體" w:hAnsi="標楷體"/>
                <w:szCs w:val="24"/>
              </w:rPr>
              <w:t>)</w:t>
            </w:r>
            <w:r w:rsidRPr="004B21D6">
              <w:rPr>
                <w:rFonts w:ascii="標楷體" w:eastAsia="標楷體" w:hAnsi="標楷體" w:hint="eastAsia"/>
                <w:szCs w:val="24"/>
              </w:rPr>
              <w:t>第</w:t>
            </w:r>
            <w:r w:rsidRPr="004B21D6">
              <w:rPr>
                <w:rFonts w:ascii="標楷體" w:eastAsia="標楷體" w:hAnsi="標楷體"/>
                <w:szCs w:val="24"/>
              </w:rPr>
              <w:t>20</w:t>
            </w:r>
            <w:r w:rsidRPr="004B21D6">
              <w:rPr>
                <w:rFonts w:ascii="標楷體" w:eastAsia="標楷體" w:hAnsi="標楷體" w:hint="eastAsia"/>
                <w:szCs w:val="24"/>
              </w:rPr>
              <w:t>次會議」決議及「第</w:t>
            </w:r>
            <w:r w:rsidRPr="004B21D6">
              <w:rPr>
                <w:rFonts w:ascii="標楷體" w:eastAsia="標楷體" w:hAnsi="標楷體"/>
                <w:szCs w:val="24"/>
              </w:rPr>
              <w:t>21</w:t>
            </w:r>
            <w:r w:rsidRPr="004B21D6">
              <w:rPr>
                <w:rFonts w:ascii="標楷體" w:eastAsia="標楷體" w:hAnsi="標楷體" w:hint="eastAsia"/>
                <w:szCs w:val="24"/>
              </w:rPr>
              <w:t>屆</w:t>
            </w:r>
            <w:r w:rsidR="0033777F" w:rsidRPr="004B21D6">
              <w:rPr>
                <w:rFonts w:ascii="標楷體" w:eastAsia="標楷體" w:hAnsi="標楷體" w:hint="eastAsia"/>
                <w:szCs w:val="24"/>
              </w:rPr>
              <w:t>及第22屆</w:t>
            </w:r>
            <w:r w:rsidRPr="004B21D6">
              <w:rPr>
                <w:rFonts w:ascii="標楷體" w:eastAsia="標楷體" w:hAnsi="標楷體"/>
                <w:szCs w:val="24"/>
              </w:rPr>
              <w:t>528</w:t>
            </w:r>
            <w:r w:rsidRPr="004B21D6">
              <w:rPr>
                <w:rFonts w:ascii="標楷體" w:eastAsia="標楷體" w:hAnsi="標楷體" w:hint="eastAsia"/>
                <w:szCs w:val="24"/>
              </w:rPr>
              <w:t>台灣婦女健康行動會議」決議，就生產事故救濟項目及給付金額之合理性</w:t>
            </w:r>
            <w:r w:rsidR="00CC076B" w:rsidRPr="004B21D6">
              <w:rPr>
                <w:rFonts w:ascii="標楷體" w:eastAsia="標楷體" w:hAnsi="標楷體" w:hint="eastAsia"/>
                <w:szCs w:val="24"/>
              </w:rPr>
              <w:t>提出建議，為</w:t>
            </w:r>
            <w:r w:rsidR="00B72E8F" w:rsidRPr="004B21D6">
              <w:rPr>
                <w:rFonts w:ascii="標楷體" w:eastAsia="標楷體" w:hAnsi="標楷體" w:hint="eastAsia"/>
                <w:szCs w:val="24"/>
              </w:rPr>
              <w:t>呼應政府鼓勵生育政策</w:t>
            </w:r>
            <w:r w:rsidR="00CC076B" w:rsidRPr="004B21D6">
              <w:rPr>
                <w:rFonts w:ascii="標楷體" w:eastAsia="標楷體" w:hAnsi="標楷體" w:hint="eastAsia"/>
                <w:szCs w:val="24"/>
              </w:rPr>
              <w:t>及本條例承擔女性生產風險，及時救濟，</w:t>
            </w:r>
            <w:r w:rsidRPr="004B21D6">
              <w:rPr>
                <w:rFonts w:ascii="標楷體" w:eastAsia="標楷體" w:hAnsi="標楷體" w:hint="eastAsia"/>
                <w:szCs w:val="24"/>
              </w:rPr>
              <w:t>考量產婦死亡造成家庭經濟環境之重大</w:t>
            </w:r>
            <w:r w:rsidR="00B72E8F" w:rsidRPr="004B21D6">
              <w:rPr>
                <w:rFonts w:ascii="標楷體" w:eastAsia="標楷體" w:hAnsi="標楷體" w:hint="eastAsia"/>
                <w:szCs w:val="24"/>
              </w:rPr>
              <w:t>衝擊影響</w:t>
            </w:r>
            <w:r w:rsidRPr="004B21D6">
              <w:rPr>
                <w:rFonts w:ascii="標楷體" w:eastAsia="標楷體" w:hAnsi="標楷體" w:hint="eastAsia"/>
                <w:szCs w:val="24"/>
              </w:rPr>
              <w:t>及身心障礙持續性照護之需求，爰修正第一項第一款第一目與第二款第一目至第三目，</w:t>
            </w:r>
            <w:r w:rsidRPr="004B21D6">
              <w:rPr>
                <w:rFonts w:ascii="標楷體" w:eastAsia="標楷體" w:hAnsi="標楷體" w:hint="eastAsia"/>
              </w:rPr>
              <w:t>調高</w:t>
            </w:r>
            <w:r w:rsidRPr="004B21D6">
              <w:rPr>
                <w:rFonts w:ascii="標楷體" w:eastAsia="標楷體" w:hAnsi="標楷體" w:hint="eastAsia"/>
                <w:szCs w:val="24"/>
              </w:rPr>
              <w:t>產婦死亡與極重度障礙、重度障礙及中度障礙等重大傷害給付</w:t>
            </w:r>
            <w:r w:rsidR="00D21053" w:rsidRPr="004B21D6">
              <w:rPr>
                <w:rFonts w:ascii="標楷體" w:eastAsia="標楷體" w:hAnsi="標楷體" w:hint="eastAsia"/>
                <w:szCs w:val="24"/>
              </w:rPr>
              <w:t>額度上限</w:t>
            </w:r>
            <w:r w:rsidRPr="004B21D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94BFC" w:rsidRPr="004B21D6" w:rsidRDefault="00A6493B" w:rsidP="00BA2EBD">
            <w:pPr>
              <w:pStyle w:val="a4"/>
              <w:numPr>
                <w:ilvl w:val="0"/>
                <w:numId w:val="3"/>
              </w:numPr>
              <w:ind w:leftChars="0"/>
              <w:jc w:val="both"/>
            </w:pPr>
            <w:r w:rsidRPr="004B21D6">
              <w:rPr>
                <w:rFonts w:ascii="標楷體" w:eastAsia="標楷體" w:hAnsi="標楷體" w:hint="eastAsia"/>
                <w:szCs w:val="24"/>
              </w:rPr>
              <w:t>增訂第三項，</w:t>
            </w:r>
            <w:r w:rsidR="0092483F" w:rsidRPr="004B21D6">
              <w:rPr>
                <w:rFonts w:ascii="標楷體" w:eastAsia="標楷體" w:hAnsi="標楷體" w:hint="eastAsia"/>
                <w:szCs w:val="24"/>
              </w:rPr>
              <w:t>明</w:t>
            </w:r>
            <w:r w:rsidRPr="004B21D6">
              <w:rPr>
                <w:rFonts w:ascii="標楷體" w:eastAsia="標楷體" w:hAnsi="標楷體" w:hint="eastAsia"/>
                <w:szCs w:val="24"/>
              </w:rPr>
              <w:t>定</w:t>
            </w:r>
            <w:r w:rsidR="0092483F" w:rsidRPr="004B21D6">
              <w:rPr>
                <w:rFonts w:ascii="標楷體" w:eastAsia="標楷體" w:hAnsi="標楷體" w:hint="eastAsia"/>
                <w:szCs w:val="24"/>
              </w:rPr>
              <w:t>適用案件之條件</w:t>
            </w:r>
            <w:r w:rsidR="00776A08" w:rsidRPr="004B21D6">
              <w:rPr>
                <w:rFonts w:ascii="標楷體" w:eastAsia="標楷體" w:hAnsi="標楷體" w:hint="eastAsia"/>
                <w:szCs w:val="24"/>
              </w:rPr>
              <w:t>，係自本辦法修正</w:t>
            </w:r>
            <w:r w:rsidR="00247153" w:rsidRPr="004B21D6">
              <w:rPr>
                <w:rFonts w:ascii="標楷體" w:eastAsia="標楷體" w:hAnsi="標楷體" w:hint="eastAsia"/>
                <w:szCs w:val="24"/>
              </w:rPr>
              <w:t>發布</w:t>
            </w:r>
            <w:r w:rsidR="00776A08" w:rsidRPr="004B21D6">
              <w:rPr>
                <w:rFonts w:ascii="標楷體" w:eastAsia="標楷體" w:hAnsi="標楷體" w:hint="eastAsia"/>
                <w:szCs w:val="24"/>
              </w:rPr>
              <w:t>日起發生之生產事故案件始適用，修正</w:t>
            </w:r>
            <w:r w:rsidR="00247153" w:rsidRPr="004B21D6">
              <w:rPr>
                <w:rFonts w:ascii="標楷體" w:eastAsia="標楷體" w:hAnsi="標楷體" w:hint="eastAsia"/>
                <w:szCs w:val="24"/>
              </w:rPr>
              <w:t>發</w:t>
            </w:r>
            <w:r w:rsidR="00247153" w:rsidRPr="004B21D6">
              <w:rPr>
                <w:rFonts w:ascii="標楷體" w:eastAsia="標楷體" w:hAnsi="標楷體" w:hint="eastAsia"/>
                <w:szCs w:val="24"/>
              </w:rPr>
              <w:lastRenderedPageBreak/>
              <w:t>布</w:t>
            </w:r>
            <w:r w:rsidR="00776A08" w:rsidRPr="004B21D6">
              <w:rPr>
                <w:rFonts w:ascii="標楷體" w:eastAsia="標楷體" w:hAnsi="標楷體" w:hint="eastAsia"/>
                <w:szCs w:val="24"/>
              </w:rPr>
              <w:t>日前發生之生產事故，仍依修正前所定額度給付。</w:t>
            </w:r>
          </w:p>
        </w:tc>
      </w:tr>
      <w:tr w:rsidR="004B21D6" w:rsidRPr="004B21D6" w:rsidTr="000E757C">
        <w:tc>
          <w:tcPr>
            <w:tcW w:w="2972" w:type="dxa"/>
          </w:tcPr>
          <w:p w:rsidR="000626FC" w:rsidRPr="004B21D6" w:rsidRDefault="000626FC" w:rsidP="000E757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lastRenderedPageBreak/>
              <w:t xml:space="preserve">第九條  </w:t>
            </w:r>
            <w:r w:rsidRPr="004B21D6">
              <w:rPr>
                <w:rFonts w:ascii="標楷體" w:eastAsia="標楷體" w:hAnsi="標楷體" w:cs="Times New Roman" w:hint="eastAsia"/>
                <w:szCs w:val="24"/>
              </w:rPr>
              <w:t>本辦法自本條例施行之日施行。</w:t>
            </w:r>
          </w:p>
          <w:p w:rsidR="000626FC" w:rsidRPr="004B21D6" w:rsidRDefault="000626FC" w:rsidP="000E757C">
            <w:pPr>
              <w:ind w:leftChars="100" w:left="240" w:firstLineChars="200" w:firstLine="48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4B21D6">
              <w:rPr>
                <w:rFonts w:ascii="標楷體" w:eastAsia="標楷體" w:hAnsi="標楷體" w:hint="eastAsia"/>
                <w:szCs w:val="24"/>
                <w:u w:val="single"/>
              </w:rPr>
              <w:t>本辦法修正條文，自發布日施行。</w:t>
            </w:r>
          </w:p>
        </w:tc>
        <w:tc>
          <w:tcPr>
            <w:tcW w:w="2977" w:type="dxa"/>
          </w:tcPr>
          <w:p w:rsidR="000626FC" w:rsidRPr="004B21D6" w:rsidRDefault="000626FC" w:rsidP="000E757C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 xml:space="preserve">第九條  </w:t>
            </w:r>
            <w:r w:rsidRPr="004B21D6">
              <w:rPr>
                <w:rFonts w:ascii="標楷體" w:eastAsia="標楷體" w:hAnsi="標楷體" w:cs="Times New Roman" w:hint="eastAsia"/>
                <w:szCs w:val="24"/>
              </w:rPr>
              <w:t>本辦法自本條例施行之日施行。</w:t>
            </w:r>
          </w:p>
        </w:tc>
        <w:tc>
          <w:tcPr>
            <w:tcW w:w="2828" w:type="dxa"/>
          </w:tcPr>
          <w:p w:rsidR="000626FC" w:rsidRPr="004B21D6" w:rsidRDefault="000626FC" w:rsidP="000E75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21D6">
              <w:rPr>
                <w:rFonts w:ascii="標楷體" w:eastAsia="標楷體" w:hAnsi="標楷體" w:hint="eastAsia"/>
                <w:szCs w:val="24"/>
              </w:rPr>
              <w:t>配合第七條之修正，增訂修正條文自發布日施行。</w:t>
            </w:r>
          </w:p>
        </w:tc>
      </w:tr>
    </w:tbl>
    <w:p w:rsidR="000A2504" w:rsidRDefault="001172BF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p w:rsidR="0076439A" w:rsidRDefault="0076439A"/>
    <w:sectPr w:rsidR="0076439A" w:rsidSect="000B4AFE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BF" w:rsidRDefault="001172BF" w:rsidP="00D05D75">
      <w:r>
        <w:separator/>
      </w:r>
    </w:p>
  </w:endnote>
  <w:endnote w:type="continuationSeparator" w:id="0">
    <w:p w:rsidR="001172BF" w:rsidRDefault="001172BF" w:rsidP="00D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BF" w:rsidRDefault="001172BF" w:rsidP="00D05D75">
      <w:r>
        <w:separator/>
      </w:r>
    </w:p>
  </w:footnote>
  <w:footnote w:type="continuationSeparator" w:id="0">
    <w:p w:rsidR="001172BF" w:rsidRDefault="001172BF" w:rsidP="00D0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3F5"/>
    <w:multiLevelType w:val="hybridMultilevel"/>
    <w:tmpl w:val="8386114C"/>
    <w:lvl w:ilvl="0" w:tplc="E7FE77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06E21"/>
    <w:multiLevelType w:val="hybridMultilevel"/>
    <w:tmpl w:val="D9AAC876"/>
    <w:lvl w:ilvl="0" w:tplc="384869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D5971"/>
    <w:multiLevelType w:val="hybridMultilevel"/>
    <w:tmpl w:val="B428F650"/>
    <w:lvl w:ilvl="0" w:tplc="56FC575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3D65FA"/>
    <w:multiLevelType w:val="hybridMultilevel"/>
    <w:tmpl w:val="8386114C"/>
    <w:lvl w:ilvl="0" w:tplc="E7FE77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732118"/>
    <w:multiLevelType w:val="hybridMultilevel"/>
    <w:tmpl w:val="8386114C"/>
    <w:lvl w:ilvl="0" w:tplc="E7FE77E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CC64C2"/>
    <w:multiLevelType w:val="hybridMultilevel"/>
    <w:tmpl w:val="64404DC2"/>
    <w:lvl w:ilvl="0" w:tplc="47447C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A1822D5"/>
    <w:multiLevelType w:val="hybridMultilevel"/>
    <w:tmpl w:val="E242B0E0"/>
    <w:lvl w:ilvl="0" w:tplc="F2347A4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EC1CF2"/>
    <w:multiLevelType w:val="hybridMultilevel"/>
    <w:tmpl w:val="14F42C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354B66"/>
    <w:multiLevelType w:val="hybridMultilevel"/>
    <w:tmpl w:val="D830533A"/>
    <w:lvl w:ilvl="0" w:tplc="B80AF5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FC"/>
    <w:rsid w:val="000134BE"/>
    <w:rsid w:val="00032012"/>
    <w:rsid w:val="000626FC"/>
    <w:rsid w:val="00085DF8"/>
    <w:rsid w:val="00091C74"/>
    <w:rsid w:val="00093254"/>
    <w:rsid w:val="000B354E"/>
    <w:rsid w:val="001172BF"/>
    <w:rsid w:val="00131ABF"/>
    <w:rsid w:val="001464E0"/>
    <w:rsid w:val="0016065B"/>
    <w:rsid w:val="001621B1"/>
    <w:rsid w:val="001A05DF"/>
    <w:rsid w:val="001A1F6B"/>
    <w:rsid w:val="001B400F"/>
    <w:rsid w:val="0022041C"/>
    <w:rsid w:val="00223D0D"/>
    <w:rsid w:val="00247153"/>
    <w:rsid w:val="00251D73"/>
    <w:rsid w:val="0027273B"/>
    <w:rsid w:val="002C2440"/>
    <w:rsid w:val="00321C3F"/>
    <w:rsid w:val="0033777F"/>
    <w:rsid w:val="00346B04"/>
    <w:rsid w:val="00354C19"/>
    <w:rsid w:val="004014C8"/>
    <w:rsid w:val="00473B48"/>
    <w:rsid w:val="004A0CEC"/>
    <w:rsid w:val="004B21D6"/>
    <w:rsid w:val="005413E6"/>
    <w:rsid w:val="00543309"/>
    <w:rsid w:val="00590F68"/>
    <w:rsid w:val="005A01F0"/>
    <w:rsid w:val="005E54B7"/>
    <w:rsid w:val="00661AFE"/>
    <w:rsid w:val="006B798D"/>
    <w:rsid w:val="006C1534"/>
    <w:rsid w:val="006C3064"/>
    <w:rsid w:val="006D746A"/>
    <w:rsid w:val="007168EF"/>
    <w:rsid w:val="0076439A"/>
    <w:rsid w:val="00776A08"/>
    <w:rsid w:val="00805D37"/>
    <w:rsid w:val="0081297E"/>
    <w:rsid w:val="0087451E"/>
    <w:rsid w:val="0090527A"/>
    <w:rsid w:val="00914FE2"/>
    <w:rsid w:val="0092483F"/>
    <w:rsid w:val="00931510"/>
    <w:rsid w:val="00942132"/>
    <w:rsid w:val="00957010"/>
    <w:rsid w:val="0096410E"/>
    <w:rsid w:val="009A5BBA"/>
    <w:rsid w:val="009E613D"/>
    <w:rsid w:val="009F7B00"/>
    <w:rsid w:val="00A253E8"/>
    <w:rsid w:val="00A55F7D"/>
    <w:rsid w:val="00A6493B"/>
    <w:rsid w:val="00A70044"/>
    <w:rsid w:val="00B22F6E"/>
    <w:rsid w:val="00B319EE"/>
    <w:rsid w:val="00B339AA"/>
    <w:rsid w:val="00B35892"/>
    <w:rsid w:val="00B55992"/>
    <w:rsid w:val="00B72E8F"/>
    <w:rsid w:val="00B827B0"/>
    <w:rsid w:val="00B9111A"/>
    <w:rsid w:val="00BA2EBD"/>
    <w:rsid w:val="00C02ABA"/>
    <w:rsid w:val="00C03021"/>
    <w:rsid w:val="00C456FF"/>
    <w:rsid w:val="00C57FDD"/>
    <w:rsid w:val="00CC076B"/>
    <w:rsid w:val="00D05D75"/>
    <w:rsid w:val="00D21053"/>
    <w:rsid w:val="00D61CB3"/>
    <w:rsid w:val="00D84950"/>
    <w:rsid w:val="00DC76C9"/>
    <w:rsid w:val="00E84D2F"/>
    <w:rsid w:val="00EB10BE"/>
    <w:rsid w:val="00EC6401"/>
    <w:rsid w:val="00F01EC9"/>
    <w:rsid w:val="00F46B62"/>
    <w:rsid w:val="00F73486"/>
    <w:rsid w:val="00F94BFC"/>
    <w:rsid w:val="00F9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668CE-53C1-4943-8DAC-6F677145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83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64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49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5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5D7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5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5D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486E-84D9-4B56-9D51-A6CA66B9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醫事司韓佳玲</dc:creator>
  <cp:keywords/>
  <dc:description/>
  <cp:lastModifiedBy>醫事司郭一德</cp:lastModifiedBy>
  <cp:revision>3</cp:revision>
  <cp:lastPrinted>2019-10-01T07:39:00Z</cp:lastPrinted>
  <dcterms:created xsi:type="dcterms:W3CDTF">2019-10-01T06:31:00Z</dcterms:created>
  <dcterms:modified xsi:type="dcterms:W3CDTF">2019-10-01T08:45:00Z</dcterms:modified>
</cp:coreProperties>
</file>